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3A" w:rsidRDefault="006A713A" w:rsidP="006A713A">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МЕТОДИЧЕСКИЕ РЕКОМЕНДАЦИИ</w:t>
      </w:r>
    </w:p>
    <w:p w:rsidR="006A713A" w:rsidRDefault="006A713A" w:rsidP="006A713A">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ПО ВОПРОСАМ ПРЕДСТАВЛЕНИЯ СВЕДЕНИЙ</w:t>
      </w:r>
    </w:p>
    <w:p w:rsidR="006A713A" w:rsidRDefault="006A713A" w:rsidP="006A713A">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О ДОХОДАХ, РАСХОДАХ, ОБ ИМУЩЕСТВЕ И ОБЯЗАТЕЛЬСТВАХ ИМУЩЕСТВЕННОГО ХАРАКТЕРА</w:t>
      </w:r>
    </w:p>
    <w:p w:rsidR="006A713A" w:rsidRDefault="006A713A" w:rsidP="006A713A">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И ЗАПОЛНЕНИЯ СООТВЕТСТВУЮЩЕЙ ФОРМЫ СПРАВКИ</w:t>
      </w:r>
    </w:p>
    <w:p w:rsidR="006A713A" w:rsidRDefault="006A713A" w:rsidP="006A713A">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в 2021году (за отчетный 2020год)</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Pr>
            <w:rStyle w:val="a6"/>
            <w:rFonts w:ascii="PT-Astra-Sans-Regular" w:hAnsi="PT-Astra-Sans-Regular"/>
            <w:color w:val="0345BF"/>
            <w:sz w:val="19"/>
            <w:szCs w:val="19"/>
          </w:rPr>
          <w:t>методические рекомендации</w:t>
        </w:r>
      </w:hyperlink>
      <w:r>
        <w:rPr>
          <w:rFonts w:ascii="PT-Astra-Sans-Regular" w:hAnsi="PT-Astra-Sans-Regular"/>
          <w:color w:val="252525"/>
          <w:sz w:val="19"/>
          <w:szCs w:val="19"/>
        </w:rPr>
        <w:t> и другие инструктивно-методические материалы по данным вопросам.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свою очередь,исходя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364"О мерах по совершенствованию организации деятельности в области противодействия коррупции",уполномоченными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иныхправонарушений (орган субъекта Российской Федерации по профилактике коррупционных и иных правонарушений).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характера,обращаются в указанное подразделение.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numPr>
          <w:ilvl w:val="0"/>
          <w:numId w:val="1"/>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t>Представление сведений о доходах, расходах,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lastRenderedPageBreak/>
        <w:t>об имуществе и обязательствах имущественного характера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Лица, обязанные представлять сведения о доходах, расходах, об имуществе и обязательствах имущественного характера</w:t>
      </w:r>
    </w:p>
    <w:p w:rsidR="006A713A" w:rsidRDefault="006A713A" w:rsidP="006A713A">
      <w:pPr>
        <w:numPr>
          <w:ilvl w:val="0"/>
          <w:numId w:val="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государственными и муниципальными служащими, замещающими должности, включенные в </w:t>
      </w:r>
      <w:hyperlink r:id="rId6" w:history="1">
        <w:r>
          <w:rPr>
            <w:rStyle w:val="a6"/>
            <w:rFonts w:ascii="PT-Astra-Sans-Regular" w:hAnsi="PT-Astra-Sans-Regular"/>
            <w:color w:val="0345BF"/>
            <w:sz w:val="19"/>
            <w:szCs w:val="19"/>
          </w:rPr>
          <w:t>перечни</w:t>
        </w:r>
      </w:hyperlink>
      <w:r>
        <w:rPr>
          <w:rFonts w:ascii="PT-Astra-Sans-Regular" w:hAnsi="PT-Astra-Sans-Regular"/>
          <w:color w:val="252525"/>
          <w:sz w:val="19"/>
          <w:szCs w:val="19"/>
        </w:rPr>
        <w:t>, утвержденные нормативными правовыми актами Российской Федерации;</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Pr>
            <w:rStyle w:val="a6"/>
            <w:rFonts w:ascii="PT-Astra-Sans-Regular" w:hAnsi="PT-Astra-Sans-Regular"/>
            <w:color w:val="0345BF"/>
            <w:sz w:val="19"/>
            <w:szCs w:val="19"/>
          </w:rPr>
          <w:t>перечень</w:t>
        </w:r>
      </w:hyperlink>
      <w:r>
        <w:rPr>
          <w:rFonts w:ascii="PT-Astra-Sans-Regular" w:hAnsi="PT-Astra-Sans-Regular"/>
          <w:color w:val="252525"/>
          <w:sz w:val="19"/>
          <w:szCs w:val="19"/>
        </w:rPr>
        <w:t>, утвержденный Советом директоров Центрального банка Российской Федерации;</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Pr>
            <w:rStyle w:val="a6"/>
            <w:rFonts w:ascii="PT-Astra-Sans-Regular" w:hAnsi="PT-Astra-Sans-Regular"/>
            <w:color w:val="0345BF"/>
            <w:sz w:val="19"/>
            <w:szCs w:val="19"/>
          </w:rPr>
          <w:t>перечни</w:t>
        </w:r>
      </w:hyperlink>
      <w:r>
        <w:rPr>
          <w:rFonts w:ascii="PT-Astra-Sans-Regular" w:hAnsi="PT-Astra-Sans-Regular"/>
          <w:color w:val="252525"/>
          <w:sz w:val="19"/>
          <w:szCs w:val="19"/>
        </w:rPr>
        <w:t>, утвержденные федеральными государственными органами;</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6A713A" w:rsidRDefault="006A713A" w:rsidP="006A713A">
      <w:pPr>
        <w:numPr>
          <w:ilvl w:val="0"/>
          <w:numId w:val="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иными лицами в соответствии с законодательством Российской Федерации.</w:t>
      </w:r>
    </w:p>
    <w:p w:rsidR="006A713A" w:rsidRDefault="006A713A" w:rsidP="006A713A">
      <w:pPr>
        <w:numPr>
          <w:ilvl w:val="0"/>
          <w:numId w:val="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государственной должности Российской Федерации, государственной должности субъекта Российской Федерации, муниципальной должности;</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любой должности государственной службы (поступающим на службу);</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должности муниципальной службы, включенной в перечни, утвержденные нормативными правовыми актами Российской Федерации;</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 xml:space="preserve">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w:t>
      </w:r>
      <w:r>
        <w:rPr>
          <w:rFonts w:ascii="PT-Astra-Sans-Regular" w:hAnsi="PT-Astra-Sans-Regular"/>
          <w:color w:val="252525"/>
          <w:sz w:val="19"/>
          <w:szCs w:val="19"/>
        </w:rPr>
        <w:lastRenderedPageBreak/>
        <w:t>должности, включенной в перечни, утвержденные нормативными актами фондов, локальными нормативными актами организаций;</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Pr>
            <w:rStyle w:val="a6"/>
            <w:rFonts w:ascii="PT-Astra-Sans-Regular" w:hAnsi="PT-Astra-Sans-Regular"/>
            <w:color w:val="0345BF"/>
            <w:sz w:val="19"/>
            <w:szCs w:val="19"/>
          </w:rPr>
          <w:t>перечень</w:t>
        </w:r>
      </w:hyperlink>
      <w:r>
        <w:rPr>
          <w:rFonts w:ascii="PT-Astra-Sans-Regular" w:hAnsi="PT-Astra-Sans-Regular"/>
          <w:color w:val="252525"/>
          <w:sz w:val="19"/>
          <w:szCs w:val="19"/>
        </w:rPr>
        <w:t>, утвержденный Советом директоров Центрального банка Российской Федерации;</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Pr>
            <w:rStyle w:val="a6"/>
            <w:rFonts w:ascii="PT-Astra-Sans-Regular" w:hAnsi="PT-Astra-Sans-Regular"/>
            <w:color w:val="0345BF"/>
            <w:sz w:val="19"/>
            <w:szCs w:val="19"/>
          </w:rPr>
          <w:t>перечни</w:t>
        </w:r>
      </w:hyperlink>
      <w:r>
        <w:rPr>
          <w:rFonts w:ascii="PT-Astra-Sans-Regular" w:hAnsi="PT-Astra-Sans-Regular"/>
          <w:color w:val="252525"/>
          <w:sz w:val="19"/>
          <w:szCs w:val="19"/>
        </w:rPr>
        <w:t>, утвержденные федеральными государственными органами;</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должности финансового уполномоченного, руководителя службы обеспечения деятельности финансового уполномоченного;</w:t>
      </w:r>
    </w:p>
    <w:p w:rsidR="006A713A" w:rsidRDefault="006A713A" w:rsidP="006A713A">
      <w:pPr>
        <w:numPr>
          <w:ilvl w:val="0"/>
          <w:numId w:val="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иных должностей в соответствии с законодательством Российской Федерации.</w:t>
      </w:r>
    </w:p>
    <w:p w:rsidR="006A713A" w:rsidRDefault="006A713A" w:rsidP="006A713A">
      <w:pPr>
        <w:numPr>
          <w:ilvl w:val="0"/>
          <w:numId w:val="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Pr>
            <w:rStyle w:val="a6"/>
            <w:rFonts w:ascii="PT-Astra-Sans-Regular" w:hAnsi="PT-Astra-Sans-Regular"/>
            <w:color w:val="0345BF"/>
            <w:sz w:val="19"/>
            <w:szCs w:val="19"/>
          </w:rPr>
          <w:t>перечнем</w:t>
        </w:r>
      </w:hyperlink>
      <w:r>
        <w:rPr>
          <w:rFonts w:ascii="PT-Astra-Sans-Regular" w:hAnsi="PT-Astra-Sans-Regular"/>
          <w:color w:val="252525"/>
          <w:sz w:val="19"/>
          <w:szCs w:val="19"/>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Обязательность представления сведений</w:t>
      </w:r>
    </w:p>
    <w:p w:rsidR="006A713A" w:rsidRDefault="006A713A" w:rsidP="006A713A">
      <w:pPr>
        <w:numPr>
          <w:ilvl w:val="0"/>
          <w:numId w:val="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6A713A" w:rsidRDefault="006A713A" w:rsidP="006A713A">
      <w:pPr>
        <w:numPr>
          <w:ilvl w:val="0"/>
          <w:numId w:val="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 7 настоящих Методических рекомендаций.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Сроки представления сведений</w:t>
      </w:r>
    </w:p>
    <w:p w:rsidR="006A713A" w:rsidRDefault="006A713A" w:rsidP="006A713A">
      <w:pPr>
        <w:numPr>
          <w:ilvl w:val="0"/>
          <w:numId w:val="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A713A" w:rsidRDefault="006A713A" w:rsidP="006A713A">
      <w:pPr>
        <w:numPr>
          <w:ilvl w:val="0"/>
          <w:numId w:val="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Служащие (работники) представляют сведения ежегодно в следующие сроки:</w:t>
      </w:r>
    </w:p>
    <w:p w:rsidR="006A713A" w:rsidRDefault="006A713A" w:rsidP="006A713A">
      <w:pPr>
        <w:numPr>
          <w:ilvl w:val="0"/>
          <w:numId w:val="1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6A713A" w:rsidRDefault="006A713A" w:rsidP="006A713A">
      <w:pPr>
        <w:numPr>
          <w:ilvl w:val="0"/>
          <w:numId w:val="1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w:t>
      </w:r>
      <w:r>
        <w:rPr>
          <w:rFonts w:ascii="PT-Astra-Sans-Regular" w:hAnsi="PT-Astra-Sans-Regular"/>
          <w:color w:val="252525"/>
          <w:sz w:val="19"/>
          <w:szCs w:val="19"/>
        </w:rPr>
        <w:lastRenderedPageBreak/>
        <w:t>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rsidR="006A713A" w:rsidRDefault="006A713A" w:rsidP="006A713A">
      <w:pPr>
        <w:numPr>
          <w:ilvl w:val="0"/>
          <w:numId w:val="1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могут быть представлены служащим (работником) в любое время, начиная с 1 января года, следующего за отчетным.</w:t>
      </w:r>
    </w:p>
    <w:p w:rsidR="006A713A" w:rsidRDefault="006A713A" w:rsidP="006A713A">
      <w:pPr>
        <w:numPr>
          <w:ilvl w:val="0"/>
          <w:numId w:val="1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A713A" w:rsidRDefault="006A713A" w:rsidP="006A713A">
      <w:pPr>
        <w:numPr>
          <w:ilvl w:val="0"/>
          <w:numId w:val="1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Лица, в отношении которых представляются сведения</w:t>
      </w:r>
    </w:p>
    <w:p w:rsidR="006A713A" w:rsidRDefault="006A713A" w:rsidP="006A713A">
      <w:pPr>
        <w:numPr>
          <w:ilvl w:val="0"/>
          <w:numId w:val="1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представляются отдельно:</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отношении служащего (работника),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в отношении его супруги (супруга),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отношении каждого несовершеннолетнего ребенка служащего (работника).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6A713A" w:rsidRDefault="006A713A" w:rsidP="006A713A">
      <w:pPr>
        <w:numPr>
          <w:ilvl w:val="0"/>
          <w:numId w:val="13"/>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t>Отчетный период и отчетная дата представления сведений</w:t>
      </w:r>
      <w:r>
        <w:rPr>
          <w:rFonts w:ascii="PT-Astra-Sans-Regular" w:hAnsi="PT-Astra-Sans-Regular"/>
          <w:color w:val="252525"/>
          <w:sz w:val="19"/>
          <w:szCs w:val="19"/>
        </w:rPr>
        <w:t>, установленные для граждан и служащих (работников), различны:</w:t>
      </w:r>
    </w:p>
    <w:p w:rsidR="006A713A" w:rsidRDefault="006A713A" w:rsidP="006A713A">
      <w:pPr>
        <w:numPr>
          <w:ilvl w:val="0"/>
          <w:numId w:val="1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гражданин представляет:</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A713A" w:rsidRDefault="006A713A" w:rsidP="006A713A">
      <w:pPr>
        <w:numPr>
          <w:ilvl w:val="0"/>
          <w:numId w:val="1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служащий (работник) представляет ежегодно:</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lastRenderedPageBreak/>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Замещение конкретной должности на отчетную дату как основание для представления сведений</w:t>
      </w:r>
    </w:p>
    <w:p w:rsidR="006A713A" w:rsidRDefault="006A713A" w:rsidP="006A713A">
      <w:pPr>
        <w:numPr>
          <w:ilvl w:val="0"/>
          <w:numId w:val="1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A713A" w:rsidRDefault="006A713A" w:rsidP="006A713A">
      <w:pPr>
        <w:numPr>
          <w:ilvl w:val="1"/>
          <w:numId w:val="1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6A713A" w:rsidRDefault="006A713A" w:rsidP="006A713A">
      <w:pPr>
        <w:numPr>
          <w:ilvl w:val="0"/>
          <w:numId w:val="1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6A713A" w:rsidRDefault="006A713A" w:rsidP="006A713A">
      <w:pPr>
        <w:numPr>
          <w:ilvl w:val="0"/>
          <w:numId w:val="1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6A713A" w:rsidRDefault="006A713A" w:rsidP="006A713A">
      <w:pPr>
        <w:numPr>
          <w:ilvl w:val="0"/>
          <w:numId w:val="1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Представление сведений после увольнения служащего (работника) в период с 1 января по 1 (30) апреля 2021 г. не требуется.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Сведения, представленные в период декларационной кампании служащим (работником), уволившимся до наступления срока размещения таких сведений,не подлежат опубликованию на официальном сайте в информационно-телекоммуникационной сети "Интернет".</w:t>
      </w:r>
    </w:p>
    <w:p w:rsidR="006A713A" w:rsidRDefault="006A713A" w:rsidP="006A713A">
      <w:pPr>
        <w:numPr>
          <w:ilvl w:val="0"/>
          <w:numId w:val="1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Определение круга лиц (членов семьи), в отношении которых необходимо представить сведения</w:t>
      </w:r>
    </w:p>
    <w:p w:rsidR="006A713A" w:rsidRDefault="006A713A" w:rsidP="006A713A">
      <w:pPr>
        <w:numPr>
          <w:ilvl w:val="0"/>
          <w:numId w:val="2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Супруги</w:t>
      </w:r>
    </w:p>
    <w:p w:rsidR="006A713A" w:rsidRDefault="006A713A" w:rsidP="006A713A">
      <w:pPr>
        <w:numPr>
          <w:ilvl w:val="0"/>
          <w:numId w:val="2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6A713A" w:rsidRDefault="006A713A" w:rsidP="006A713A">
      <w:pPr>
        <w:numPr>
          <w:ilvl w:val="0"/>
          <w:numId w:val="2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Перечень ситуаций и рекомендуемые действия (таблица № 1):</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29"/>
        <w:gridCol w:w="6556"/>
      </w:tblGrid>
      <w:tr w:rsidR="006A713A" w:rsidTr="006A713A">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Пример: служащий (работник) представляет сведения в 2021 году</w:t>
            </w:r>
            <w:r>
              <w:rPr>
                <w:rFonts w:ascii="PT-Astra-Sans-Regular" w:hAnsi="PT-Astra-Sans-Regular"/>
                <w:color w:val="252525"/>
                <w:sz w:val="19"/>
                <w:szCs w:val="19"/>
              </w:rPr>
              <w:br/>
              <w:t>(за отчетный 2020г.)</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заключен в органах записи актов гражданского состояния (далее – ЗАГС) в ноябре 2020 года</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супруги (супруга) представляются, поскольку по состоянию на отчетную дату (31 декабря 2020года) служащий (работник) состоял в браке</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заключен в ЗАГСе в марте 2021 года</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6A713A" w:rsidTr="006A713A">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заключен 1 февраля 2021 года</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супруги представляются, поскольку по состоянию на отчетную дату (1 августа 2021 года) гражданин состоял в браке</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заключен 2 августа 2021 года</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numPr>
          <w:ilvl w:val="0"/>
          <w:numId w:val="2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Перечень ситуаций и рекомендуемые действия (таблица № 2)</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56"/>
        <w:gridCol w:w="6529"/>
      </w:tblGrid>
      <w:tr w:rsidR="006A713A" w:rsidTr="006A713A">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служащий (работник) представляет сведения в 2021 году (за отчетный 2020 г.)</w:t>
            </w:r>
          </w:p>
        </w:tc>
      </w:tr>
      <w:tr w:rsidR="006A713A" w:rsidTr="006A713A">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был расторгнут в ЗАГСе в ноябре 2020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6A713A" w:rsidTr="006A713A">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Окончательное решение о расторжении брака было принято судом 12 декабря 2020 года и вступило в законную силу 12 января 2021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6A713A" w:rsidTr="006A713A">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был расторгнут в ЗАГСе в марте 2021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6A713A" w:rsidTr="006A713A">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6A713A" w:rsidTr="006A713A">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был расторгнут в ЗАГСе 1 июля 2021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6A713A" w:rsidTr="006A713A">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был расторгнут в ЗАГСе 2 августа 2021 года</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6A713A" w:rsidTr="006A713A">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Окончательное решение о расторжении брака было принято судом 4 июля2021 года и вступило в законную силу 4 августа 2021 г.</w:t>
            </w:r>
          </w:p>
        </w:tc>
        <w:tc>
          <w:tcPr>
            <w:tcW w:w="5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Несовершеннолетние дети</w:t>
      </w:r>
    </w:p>
    <w:p w:rsidR="006A713A" w:rsidRDefault="006A713A" w:rsidP="006A713A">
      <w:pPr>
        <w:numPr>
          <w:ilvl w:val="0"/>
          <w:numId w:val="2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A713A" w:rsidRDefault="006A713A" w:rsidP="006A713A">
      <w:pPr>
        <w:numPr>
          <w:ilvl w:val="0"/>
          <w:numId w:val="2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Перечень ситуаций и рекомендуемые действия (таблица № 3):</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29"/>
        <w:gridCol w:w="6556"/>
      </w:tblGrid>
      <w:tr w:rsidR="006A713A" w:rsidTr="006A713A">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служащий (работник) представляет сведения в 2021 году (за отчетный2020 г.)</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Дочери служащего (работника)21 мая 2020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Дочери служащего (работника) 30 декабря 2020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Дочери служащего (работника)31 декабря 2020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6A713A" w:rsidTr="006A713A">
        <w:tc>
          <w:tcPr>
            <w:tcW w:w="828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гражданин представляет в сентябре 2021 года сведения в связи с назначением на должность. Отчетной датой является 1 августа 2021года</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Сыну гражданина 5 мая 2021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Сыну гражданина 1 августа 2021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6A713A" w:rsidTr="006A713A">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Сыну гражданина 17 августа 2021 года исполнилось 18 лет</w:t>
            </w:r>
          </w:p>
        </w:tc>
        <w:tc>
          <w:tcPr>
            <w:tcW w:w="5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6A713A" w:rsidRDefault="006A713A" w:rsidP="006A713A">
      <w:pPr>
        <w:numPr>
          <w:ilvl w:val="0"/>
          <w:numId w:val="2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6A713A" w:rsidRDefault="006A713A" w:rsidP="006A713A">
      <w:pPr>
        <w:numPr>
          <w:ilvl w:val="0"/>
          <w:numId w:val="2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Уточнение представленных сведений</w:t>
      </w:r>
    </w:p>
    <w:p w:rsidR="006A713A" w:rsidRDefault="006A713A" w:rsidP="006A713A">
      <w:pPr>
        <w:numPr>
          <w:ilvl w:val="0"/>
          <w:numId w:val="2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A713A" w:rsidRDefault="006A713A" w:rsidP="006A713A">
      <w:pPr>
        <w:numPr>
          <w:ilvl w:val="0"/>
          <w:numId w:val="2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A713A" w:rsidRDefault="006A713A" w:rsidP="006A713A">
      <w:pPr>
        <w:numPr>
          <w:ilvl w:val="0"/>
          <w:numId w:val="2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именнов срок до 1 (31) мая года, следующего за отчетным.</w:t>
      </w:r>
    </w:p>
    <w:p w:rsidR="006A713A" w:rsidRDefault="006A713A" w:rsidP="006A713A">
      <w:pPr>
        <w:numPr>
          <w:ilvl w:val="0"/>
          <w:numId w:val="2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6A713A" w:rsidRDefault="006A713A" w:rsidP="006A713A">
      <w:pPr>
        <w:numPr>
          <w:ilvl w:val="0"/>
          <w:numId w:val="2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Рекомендуемые действия при невозможности представить сведения в отношении члена семьи</w:t>
      </w:r>
    </w:p>
    <w:p w:rsidR="006A713A" w:rsidRDefault="006A713A" w:rsidP="006A713A">
      <w:pPr>
        <w:numPr>
          <w:ilvl w:val="0"/>
          <w:numId w:val="2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w:t>
      </w:r>
      <w:r>
        <w:rPr>
          <w:rFonts w:ascii="PT-Astra-Sans-Regular" w:hAnsi="PT-Astra-Sans-Regular"/>
          <w:color w:val="252525"/>
          <w:sz w:val="19"/>
          <w:szCs w:val="19"/>
        </w:rPr>
        <w:lastRenderedPageBreak/>
        <w:t>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октября2017 г. № 472"О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A713A" w:rsidRDefault="006A713A" w:rsidP="006A713A">
      <w:pPr>
        <w:numPr>
          <w:ilvl w:val="0"/>
          <w:numId w:val="2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Заявление должно быть направлено до истечения срока, установленного для представления служащим (работником) сведений.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Заявление подается (таблица № 4):</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24"/>
        <w:gridCol w:w="6461"/>
      </w:tblGrid>
      <w:tr w:rsidR="006A713A" w:rsidTr="006A713A">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Управление Президента Российской Федерации по вопросам противодействия коррупции</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6A713A" w:rsidTr="006A713A">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Департамент государственной службы и кадров Правительства Российской Федерации</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A713A" w:rsidTr="006A713A">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подразделение кадровой службы федерального государственного органа по профилактике коррупционных и иных правонарушений</w:t>
            </w:r>
          </w:p>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6A713A" w:rsidTr="006A713A">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6A713A" w:rsidTr="006A713A">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В подразделение по профилактике </w:t>
            </w:r>
            <w:r>
              <w:rPr>
                <w:rFonts w:ascii="PT-Astra-Sans-Regular" w:hAnsi="PT-Astra-Sans-Regular"/>
                <w:color w:val="252525"/>
                <w:sz w:val="19"/>
                <w:szCs w:val="19"/>
              </w:rPr>
              <w:lastRenderedPageBreak/>
              <w:t>коррупционных и иных правонарушений Центрального банка Российской Федерации</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xml:space="preserve">лицами, занимающими должности, включенные в перечень, утвержденный </w:t>
            </w:r>
            <w:r>
              <w:rPr>
                <w:rFonts w:ascii="PT-Astra-Sans-Regular" w:hAnsi="PT-Astra-Sans-Regular"/>
                <w:color w:val="252525"/>
                <w:sz w:val="19"/>
                <w:szCs w:val="19"/>
              </w:rPr>
              <w:lastRenderedPageBreak/>
              <w:t>Советом директоров Центрального банка Российской Федерации</w:t>
            </w:r>
          </w:p>
        </w:tc>
      </w:tr>
      <w:tr w:rsidR="006A713A" w:rsidTr="006A713A">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numPr>
          <w:ilvl w:val="0"/>
          <w:numId w:val="2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Для служащих (работников) право направить заявление о невозможности представить сведения о </w:t>
      </w:r>
      <w:r>
        <w:rPr>
          <w:rStyle w:val="a3"/>
          <w:rFonts w:ascii="PT-Astra-Sans-Regular" w:hAnsi="PT-Astra-Sans-Regular"/>
          <w:color w:val="252525"/>
          <w:sz w:val="19"/>
          <w:szCs w:val="19"/>
        </w:rPr>
        <w:t>своих</w:t>
      </w:r>
      <w:r>
        <w:rPr>
          <w:rFonts w:ascii="PT-Astra-Sans-Regular" w:hAnsi="PT-Astra-Sans-Regular"/>
          <w:color w:val="252525"/>
          <w:sz w:val="19"/>
          <w:szCs w:val="19"/>
        </w:rPr>
        <w:t> доходах, расходах, об имуществе и обязательствах имущественного характера законодательством не предусмотрено.</w:t>
      </w:r>
    </w:p>
    <w:p w:rsidR="006A713A" w:rsidRDefault="006A713A" w:rsidP="006A713A">
      <w:pPr>
        <w:numPr>
          <w:ilvl w:val="0"/>
          <w:numId w:val="2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numPr>
          <w:ilvl w:val="0"/>
          <w:numId w:val="28"/>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t>II. Заполнение справки о доходах, расходах, об имуществе и обязательствах имущественного характера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 </w:t>
      </w:r>
    </w:p>
    <w:p w:rsidR="006A713A" w:rsidRDefault="006A713A" w:rsidP="006A713A">
      <w:pPr>
        <w:numPr>
          <w:ilvl w:val="0"/>
          <w:numId w:val="2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6A713A" w:rsidRDefault="006A713A" w:rsidP="006A713A">
      <w:pPr>
        <w:numPr>
          <w:ilvl w:val="0"/>
          <w:numId w:val="2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К справке могут быть приложены любые документы, в том числе пояснения служащего (работника).</w:t>
      </w:r>
    </w:p>
    <w:p w:rsidR="006A713A" w:rsidRDefault="006A713A" w:rsidP="006A713A">
      <w:pPr>
        <w:numPr>
          <w:ilvl w:val="0"/>
          <w:numId w:val="3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6A713A" w:rsidRDefault="006A713A" w:rsidP="006A713A">
      <w:pPr>
        <w:numPr>
          <w:ilvl w:val="0"/>
          <w:numId w:val="3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СПО "Справки БК" размещено на официальном сайте Президента Российской Федерации (</w:t>
      </w:r>
      <w:hyperlink r:id="rId12" w:history="1">
        <w:r>
          <w:rPr>
            <w:rStyle w:val="a6"/>
            <w:rFonts w:ascii="PT-Astra-Sans-Regular" w:hAnsi="PT-Astra-Sans-Regular"/>
            <w:color w:val="0345BF"/>
            <w:sz w:val="19"/>
            <w:szCs w:val="19"/>
          </w:rPr>
          <w:t>http://www.kremlin.ru/structure/additional/12</w:t>
        </w:r>
      </w:hyperlink>
      <w:r>
        <w:rPr>
          <w:rFonts w:ascii="PT-Astra-Sans-Regular" w:hAnsi="PT-Astra-Sans-Regular"/>
          <w:color w:val="252525"/>
          <w:sz w:val="19"/>
          <w:szCs w:val="19"/>
        </w:rPr>
        <w:t>), ссылка на которыйтакже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hyperlink r:id="rId13" w:history="1">
        <w:r>
          <w:rPr>
            <w:rStyle w:val="a6"/>
            <w:rFonts w:ascii="PT-Astra-Sans-Regular" w:hAnsi="PT-Astra-Sans-Regular"/>
            <w:color w:val="0345BF"/>
            <w:sz w:val="19"/>
            <w:szCs w:val="19"/>
          </w:rPr>
          <w:t>https://gossluzhba.gov.ru/anticorruption/spravki_bk</w:t>
        </w:r>
      </w:hyperlink>
      <w:r>
        <w:rPr>
          <w:rFonts w:ascii="PT-Astra-Sans-Regular" w:hAnsi="PT-Astra-Sans-Regular"/>
          <w:color w:val="252525"/>
          <w:sz w:val="19"/>
          <w:szCs w:val="19"/>
        </w:rPr>
        <w:t>).</w:t>
      </w:r>
    </w:p>
    <w:p w:rsidR="006A713A" w:rsidRDefault="006A713A" w:rsidP="006A713A">
      <w:pPr>
        <w:numPr>
          <w:ilvl w:val="0"/>
          <w:numId w:val="3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Одновременно необходимо не допускать ситуаций, при которых дата и время печати справки будут отличаться на листах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Согласно Инструкции о порядке заполнения справки о доходах, расходах, об имуществе и обязательствах имущественного характера с использованием СПО"Справки БК" необходимо учитывать следующее: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для печати справок используется лазерный принтер, обеспечивающий качественную печать;</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не допускаются дефекты печати в виде полос, пятен (при дефектах барабана или картриджа принтера);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не допускается наличие подписи и пометок на линейных и двумерных штрих-кодах;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не допускаются рукописные 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Кроме того, листы одной справки не следует менять или вставлять в другие справки, даже если они содержат идентичную информацию.</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Справки не рекомендуется прошивать и фиксировать скрепкой.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Печатать справки рекомендуется только на одной стороне листа.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ТИТУЛЬНЫЙ ЛИСТ</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 </w:t>
      </w:r>
    </w:p>
    <w:p w:rsidR="006A713A" w:rsidRDefault="006A713A" w:rsidP="006A713A">
      <w:pPr>
        <w:numPr>
          <w:ilvl w:val="0"/>
          <w:numId w:val="3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заполнении титульного листа справки рекомендуется обратить внимание на следующее: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фамилия, имя и отчество (при наличии)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дата рождения (год рождения) указывается в соответствии с записью в документе, удостоверяющем личность;</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Представление депутатом представительного органа 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w:t>
      </w:r>
      <w:r>
        <w:rPr>
          <w:rFonts w:ascii="PT-Astra-Sans-Regular" w:hAnsi="PT-Astra-Sans-Regular"/>
          <w:color w:val="252525"/>
          <w:sz w:val="19"/>
          <w:szCs w:val="19"/>
        </w:rPr>
        <w:lastRenderedPageBreak/>
        <w:t>Федерального закона от 3 декабря 2012 г. № 230-ФЗ "О контроле за соответствием расходов лиц, замещающих государственные должности, и иных лиц их доходам";5)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1. СВЕДЕНИЯ О ДОХОДАХ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 </w:t>
      </w:r>
    </w:p>
    <w:p w:rsidR="006A713A" w:rsidRDefault="006A713A" w:rsidP="006A713A">
      <w:pPr>
        <w:numPr>
          <w:ilvl w:val="0"/>
          <w:numId w:val="3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Доход по основному месту работы</w:t>
      </w:r>
    </w:p>
    <w:p w:rsidR="006A713A" w:rsidRDefault="006A713A" w:rsidP="006A713A">
      <w:pPr>
        <w:numPr>
          <w:ilvl w:val="0"/>
          <w:numId w:val="3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форме2-НДФЛ, выдаваемой по месту службы (работы) (графа 5.1"Общая сумма дохода").Если по основному месту работы получен доход, который не включен в справку по форме 2-НДФЛ, он подлежит указанию в иных доходах.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6A713A" w:rsidRDefault="006A713A" w:rsidP="006A713A">
      <w:pPr>
        <w:numPr>
          <w:ilvl w:val="0"/>
          <w:numId w:val="3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Особенности заполнения данного раздела отдельными категориямилиц</w:t>
      </w:r>
    </w:p>
    <w:p w:rsidR="006A713A" w:rsidRDefault="006A713A" w:rsidP="006A713A">
      <w:pPr>
        <w:numPr>
          <w:ilvl w:val="0"/>
          <w:numId w:val="3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при применении системы налогообложения в виде единого налога на вмененный доход для отдельных видов деятельности (ЕНВД)в качестве"дохода"указываетсявеличина вмененного дохода;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w:t>
      </w:r>
      <w:r>
        <w:rPr>
          <w:rFonts w:ascii="PT-Astra-Sans-Regular" w:hAnsi="PT-Astra-Sans-Regular"/>
          <w:color w:val="252525"/>
          <w:sz w:val="19"/>
          <w:szCs w:val="19"/>
        </w:rPr>
        <w:lastRenderedPageBreak/>
        <w:t>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A713A" w:rsidRDefault="006A713A" w:rsidP="006A713A">
      <w:pPr>
        <w:numPr>
          <w:ilvl w:val="0"/>
          <w:numId w:val="3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6A713A" w:rsidRDefault="006A713A" w:rsidP="006A713A">
      <w:pPr>
        <w:numPr>
          <w:ilvl w:val="0"/>
          <w:numId w:val="3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6A713A" w:rsidRDefault="006A713A" w:rsidP="006A713A">
      <w:pPr>
        <w:numPr>
          <w:ilvl w:val="0"/>
          <w:numId w:val="3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Доход от педагогической и научной деятельности</w:t>
      </w:r>
    </w:p>
    <w:p w:rsidR="006A713A" w:rsidRDefault="006A713A" w:rsidP="006A713A">
      <w:pPr>
        <w:numPr>
          <w:ilvl w:val="0"/>
          <w:numId w:val="3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6A713A" w:rsidRDefault="006A713A" w:rsidP="006A713A">
      <w:pPr>
        <w:numPr>
          <w:ilvl w:val="0"/>
          <w:numId w:val="3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Доход от иной творческой деятельности</w:t>
      </w:r>
    </w:p>
    <w:p w:rsidR="006A713A" w:rsidRDefault="006A713A" w:rsidP="006A713A">
      <w:pPr>
        <w:numPr>
          <w:ilvl w:val="0"/>
          <w:numId w:val="3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6A713A" w:rsidRDefault="006A713A" w:rsidP="006A713A">
      <w:pPr>
        <w:numPr>
          <w:ilvl w:val="0"/>
          <w:numId w:val="3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Доход от вкладов в банках и иных кредитных организациях</w:t>
      </w:r>
    </w:p>
    <w:p w:rsidR="006A713A" w:rsidRDefault="006A713A" w:rsidP="006A713A">
      <w:pPr>
        <w:numPr>
          <w:ilvl w:val="0"/>
          <w:numId w:val="3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A713A" w:rsidRDefault="006A713A" w:rsidP="006A713A">
      <w:pPr>
        <w:numPr>
          <w:ilvl w:val="0"/>
          <w:numId w:val="3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6A713A" w:rsidRDefault="006A713A" w:rsidP="006A713A">
      <w:pPr>
        <w:numPr>
          <w:ilvl w:val="0"/>
          <w:numId w:val="3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 полученный в иностранной валюте, указывается в рублях по курсу Банка России на дату получения дохода.</w:t>
      </w:r>
    </w:p>
    <w:p w:rsidR="006A713A" w:rsidRDefault="006A713A" w:rsidP="006A713A">
      <w:pPr>
        <w:numPr>
          <w:ilvl w:val="0"/>
          <w:numId w:val="3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6A713A" w:rsidRDefault="006A713A" w:rsidP="006A713A">
      <w:pPr>
        <w:numPr>
          <w:ilvl w:val="0"/>
          <w:numId w:val="3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Pr>
            <w:rStyle w:val="a6"/>
            <w:rFonts w:ascii="PT-Astra-Sans-Regular" w:hAnsi="PT-Astra-Sans-Regular"/>
            <w:color w:val="0345BF"/>
            <w:sz w:val="19"/>
            <w:szCs w:val="19"/>
          </w:rPr>
          <w:t>https://www.cbr.ru/currency_base/daily/</w:t>
        </w:r>
      </w:hyperlink>
      <w:r>
        <w:rPr>
          <w:rFonts w:ascii="PT-Astra-Sans-Regular" w:hAnsi="PT-Astra-Sans-Regular"/>
          <w:color w:val="252525"/>
          <w:sz w:val="19"/>
          <w:szCs w:val="19"/>
        </w:rPr>
        <w:t>.</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6A713A" w:rsidRDefault="006A713A" w:rsidP="006A713A">
      <w:pPr>
        <w:numPr>
          <w:ilvl w:val="0"/>
          <w:numId w:val="4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Не рекомендуется проводить какие-либо самостоятельные расчеты, поскольку вероятно возникновение различного рода ошибок.</w:t>
      </w:r>
    </w:p>
    <w:p w:rsidR="006A713A" w:rsidRDefault="006A713A" w:rsidP="006A713A">
      <w:pPr>
        <w:numPr>
          <w:ilvl w:val="0"/>
          <w:numId w:val="4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6A713A" w:rsidRDefault="006A713A" w:rsidP="006A713A">
      <w:pPr>
        <w:numPr>
          <w:ilvl w:val="0"/>
          <w:numId w:val="4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Доход от ценных бумаг и долей участия в коммерческих организациях</w:t>
      </w:r>
    </w:p>
    <w:p w:rsidR="006A713A" w:rsidRDefault="006A713A" w:rsidP="006A713A">
      <w:pPr>
        <w:numPr>
          <w:ilvl w:val="0"/>
          <w:numId w:val="4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выплаченный купонный доход по облигациям;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Иные доходы</w:t>
      </w:r>
    </w:p>
    <w:p w:rsidR="006A713A" w:rsidRDefault="006A713A" w:rsidP="006A713A">
      <w:pPr>
        <w:numPr>
          <w:ilvl w:val="0"/>
          <w:numId w:val="4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данной строке указываются доходы, которые не были отражены в строках 1-5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 например, в строке иные доходы могут быть указаны:</w:t>
      </w:r>
    </w:p>
    <w:p w:rsidR="006A713A" w:rsidRDefault="006A713A" w:rsidP="006A713A">
      <w:pPr>
        <w:numPr>
          <w:ilvl w:val="0"/>
          <w:numId w:val="4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государственная и негосударственная пенсии (при этом разные виды пенсий (по возрасту и пенсия военнослужащего) не следует суммировать);</w:t>
      </w:r>
    </w:p>
    <w:p w:rsidR="006A713A" w:rsidRDefault="006A713A" w:rsidP="006A713A">
      <w:pPr>
        <w:numPr>
          <w:ilvl w:val="0"/>
          <w:numId w:val="4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6A713A" w:rsidRDefault="006A713A" w:rsidP="006A713A">
      <w:pPr>
        <w:numPr>
          <w:ilvl w:val="0"/>
          <w:numId w:val="4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255-ФЗ"Об обязательном социальном страховании на случай временной нетрудоспособности и в связи с материнством").</w:t>
      </w:r>
    </w:p>
    <w:p w:rsidR="006A713A" w:rsidRDefault="006A713A" w:rsidP="006A713A">
      <w:pPr>
        <w:numPr>
          <w:ilvl w:val="0"/>
          <w:numId w:val="4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A713A" w:rsidRDefault="006A713A" w:rsidP="006A713A">
      <w:pPr>
        <w:numPr>
          <w:ilvl w:val="0"/>
          <w:numId w:val="4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6A713A" w:rsidRDefault="006A713A" w:rsidP="006A713A">
      <w:pPr>
        <w:numPr>
          <w:ilvl w:val="0"/>
          <w:numId w:val="4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стипендия;</w:t>
      </w:r>
    </w:p>
    <w:p w:rsidR="006A713A" w:rsidRDefault="006A713A" w:rsidP="006A713A">
      <w:pPr>
        <w:numPr>
          <w:ilvl w:val="0"/>
          <w:numId w:val="4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 (супруга) перечислены денежные средства данной выплаты);</w:t>
      </w:r>
    </w:p>
    <w:p w:rsidR="006A713A" w:rsidRDefault="006A713A" w:rsidP="006A713A">
      <w:pPr>
        <w:numPr>
          <w:ilvl w:val="0"/>
          <w:numId w:val="4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A713A" w:rsidRDefault="006A713A" w:rsidP="006A713A">
      <w:pPr>
        <w:numPr>
          <w:ilvl w:val="0"/>
          <w:numId w:val="4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Аналогично в отношении продажи имущества, находящегося в совместной собственности.</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адрес места нахождения организации, от которой был получен доход;</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проценты по долговым обязательствам;</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средства, полученные в порядке дарения или наследования;</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возмещение вреда, причиненного увечьем или иным повреждением здоровья;</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выплаты, связанные с гибелью (смертью), выплаченные наследникам;</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w:t>
      </w:r>
      <w:r>
        <w:rPr>
          <w:rFonts w:ascii="PT-Astra-Sans-Regular" w:hAnsi="PT-Astra-Sans-Regular"/>
          <w:color w:val="252525"/>
          <w:sz w:val="19"/>
          <w:szCs w:val="19"/>
        </w:rPr>
        <w:lastRenderedPageBreak/>
        <w:t>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выигрыши в лотереях, букмекерских конторах, тотализаторах, конкурсах и иных играх(при этом расходы, например ставка, не учитываются и не подлежат вычитанию из сумм выигрышей);</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выплаты членам профсоюзных организаций, полученные от данных профсоюзных организаций;</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вознаграждение, полученное при осуществлении опеки или попечительства на возмездной основе;</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 полученный индивидуальным предпринимателем (указывается согласно бухгалтерской (финансовой) отчетности или в соответствии с пунктом 43настоящих Методических рекомендаций);</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средства, полученные в качестве оплаты услуг или товаров, в том числе в качестве авансового платежа;</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и третьих лиц на невозвратной основе;</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доход, полученный по договорам переуступки прав требования на строящиеся объекты недвижимости;</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выплаченная ликвидационная стоимость ценных бумаг при ликвидации коммерческой организации;</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A713A" w:rsidRDefault="006A713A" w:rsidP="006A713A">
      <w:pPr>
        <w:numPr>
          <w:ilvl w:val="0"/>
          <w:numId w:val="4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иные аналогичные выплаты.</w:t>
      </w:r>
    </w:p>
    <w:p w:rsidR="006A713A" w:rsidRDefault="006A713A" w:rsidP="006A713A">
      <w:pPr>
        <w:numPr>
          <w:ilvl w:val="0"/>
          <w:numId w:val="4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Также подлежат отражению в строке "Иные доходы", например, следующие выплаты:</w:t>
      </w:r>
    </w:p>
    <w:p w:rsidR="006A713A" w:rsidRDefault="006A713A" w:rsidP="006A713A">
      <w:pPr>
        <w:numPr>
          <w:ilvl w:val="1"/>
          <w:numId w:val="4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rsidR="006A713A" w:rsidRDefault="006A713A" w:rsidP="006A713A">
      <w:pPr>
        <w:numPr>
          <w:ilvl w:val="1"/>
          <w:numId w:val="4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6A713A" w:rsidRDefault="006A713A" w:rsidP="006A713A">
      <w:pPr>
        <w:numPr>
          <w:ilvl w:val="1"/>
          <w:numId w:val="4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6A713A" w:rsidRDefault="006A713A" w:rsidP="006A713A">
      <w:pPr>
        <w:numPr>
          <w:ilvl w:val="1"/>
          <w:numId w:val="4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6A713A" w:rsidRDefault="006A713A" w:rsidP="006A713A">
      <w:pPr>
        <w:numPr>
          <w:ilvl w:val="1"/>
          <w:numId w:val="4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6A713A" w:rsidRDefault="006A713A" w:rsidP="006A713A">
      <w:pPr>
        <w:numPr>
          <w:ilvl w:val="0"/>
          <w:numId w:val="4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6A713A" w:rsidRDefault="006A713A" w:rsidP="006A713A">
      <w:pPr>
        <w:numPr>
          <w:ilvl w:val="0"/>
          <w:numId w:val="4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 учетом целей антикоррупционного законодательства в строке 6 "Иные доходы"</w:t>
      </w:r>
      <w:r>
        <w:rPr>
          <w:rStyle w:val="a3"/>
          <w:rFonts w:ascii="PT-Astra-Sans-Regular" w:hAnsi="PT-Astra-Sans-Regular"/>
          <w:color w:val="252525"/>
          <w:sz w:val="19"/>
          <w:szCs w:val="19"/>
        </w:rPr>
        <w:t> не указываются </w:t>
      </w:r>
      <w:r>
        <w:rPr>
          <w:rFonts w:ascii="PT-Astra-Sans-Regular" w:hAnsi="PT-Astra-Sans-Regular"/>
          <w:color w:val="252525"/>
          <w:sz w:val="19"/>
          <w:szCs w:val="19"/>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 служебными командировками за счет средств работодателя;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с оплатой стоимости и (или) выдачи полагающегося натурального довольствия, а также выплатой денежных средств взамен этого довольствия;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с приобретением проездных документов для исполнения служебных (должностных) обязанностей;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с оплатой коммунальных и иных услуг, наймом жилого помещения;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с внесением родительской платы за посещение дошкольного образовательного учреждения;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с оформлением нотариальной доверенности, почтовыми расходами, расходами на оплату услуг представителя (возмещаются по решению суда).</w:t>
      </w:r>
    </w:p>
    <w:p w:rsidR="006A713A" w:rsidRDefault="006A713A" w:rsidP="006A713A">
      <w:pPr>
        <w:numPr>
          <w:ilvl w:val="0"/>
          <w:numId w:val="4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Также не указываются сведения о денежных средствах, полученных: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виде социального, имущественного, инвестиционного налогового вычета;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от продажи различного вида подарочных сертификатов (карт), выпущенных предприятиями торговли;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средств("кешбэк сервис");</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в качестве возврата налога на добавленную стоимость, уплаченного при совершении покупок за границей, по чекам Tax-free;</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 качестве вознаграждения донорам за сданную кровь, ее компонентов (и иную помощь);</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в качестве возмещения расходов на повышение профессионального уровня за счет средств представителя нанимателя (работодателя);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в связи с возвратом денежных средств по несостоявшемуся договору купли-продажи;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на специальный избирательный счет в соответствии с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6A713A" w:rsidRDefault="006A713A" w:rsidP="006A713A">
      <w:pPr>
        <w:numPr>
          <w:ilvl w:val="0"/>
          <w:numId w:val="4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разделе 1 справки.</w:t>
      </w:r>
    </w:p>
    <w:p w:rsidR="006A713A" w:rsidRDefault="006A713A" w:rsidP="006A713A">
      <w:pPr>
        <w:numPr>
          <w:ilvl w:val="0"/>
          <w:numId w:val="4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2. СВЕДЕНИЯ О РАСХОДАХ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 </w:t>
      </w:r>
    </w:p>
    <w:p w:rsidR="006A713A" w:rsidRDefault="006A713A" w:rsidP="006A713A">
      <w:pPr>
        <w:numPr>
          <w:ilvl w:val="0"/>
          <w:numId w:val="4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Данный раздел справки </w:t>
      </w:r>
      <w:r>
        <w:rPr>
          <w:rStyle w:val="a3"/>
          <w:rFonts w:ascii="PT-Astra-Sans-Regular" w:hAnsi="PT-Astra-Sans-Regular"/>
          <w:color w:val="252525"/>
          <w:sz w:val="19"/>
          <w:szCs w:val="19"/>
        </w:rPr>
        <w:t>заполняется только</w:t>
      </w:r>
      <w:r>
        <w:rPr>
          <w:rFonts w:ascii="PT-Astra-Sans-Regular" w:hAnsi="PT-Astra-Sans-Regular"/>
          <w:color w:val="252525"/>
          <w:sz w:val="19"/>
          <w:szCs w:val="19"/>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2021году сообщаются сведения о расходах по сделкам, совершенным в 2020 году.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6A713A" w:rsidRDefault="006A713A" w:rsidP="006A713A">
      <w:pPr>
        <w:numPr>
          <w:ilvl w:val="0"/>
          <w:numId w:val="5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Данный раздел справки также подлежит заполнению при наличии обстоятельств, перечисленных в пункте 67настоящих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A713A" w:rsidRDefault="006A713A" w:rsidP="006A713A">
      <w:pPr>
        <w:numPr>
          <w:ilvl w:val="0"/>
          <w:numId w:val="5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Граждане, поступающие на службу (работу), раздел"Сведения о расходах" не заполняют.</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"Сведения о расходах".</w:t>
      </w:r>
    </w:p>
    <w:p w:rsidR="006A713A" w:rsidRDefault="006A713A" w:rsidP="006A713A">
      <w:pPr>
        <w:numPr>
          <w:ilvl w:val="0"/>
          <w:numId w:val="5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Заполнение данного раздела при отсутствии указанных в пункте 67 настоящих Методических рекомендаций оснований не является нарушением.</w:t>
      </w:r>
    </w:p>
    <w:p w:rsidR="006A713A" w:rsidRDefault="006A713A" w:rsidP="006A713A">
      <w:pPr>
        <w:numPr>
          <w:ilvl w:val="0"/>
          <w:numId w:val="5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6A713A" w:rsidRDefault="006A713A" w:rsidP="006A713A">
      <w:pPr>
        <w:numPr>
          <w:ilvl w:val="0"/>
          <w:numId w:val="5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Для цели реализации пункта 67настоящих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 (аналогично в отношении супруги (супруга).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"Сведения о расходах".</w:t>
      </w:r>
    </w:p>
    <w:p w:rsidR="006A713A" w:rsidRDefault="006A713A" w:rsidP="006A713A">
      <w:pPr>
        <w:numPr>
          <w:ilvl w:val="0"/>
          <w:numId w:val="5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6A713A" w:rsidRDefault="006A713A" w:rsidP="006A713A">
      <w:pPr>
        <w:numPr>
          <w:ilvl w:val="0"/>
          <w:numId w:val="5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Данный раздел </w:t>
      </w:r>
      <w:r>
        <w:rPr>
          <w:rStyle w:val="a3"/>
          <w:rFonts w:ascii="PT-Astra-Sans-Regular" w:hAnsi="PT-Astra-Sans-Regular"/>
          <w:color w:val="252525"/>
          <w:sz w:val="19"/>
          <w:szCs w:val="19"/>
        </w:rPr>
        <w:t>не заполняется</w:t>
      </w:r>
      <w:r>
        <w:rPr>
          <w:rFonts w:ascii="PT-Astra-Sans-Regular" w:hAnsi="PT-Astra-Sans-Regular"/>
          <w:color w:val="252525"/>
          <w:sz w:val="19"/>
          <w:szCs w:val="19"/>
        </w:rPr>
        <w:t> в следующих случаях: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6A713A" w:rsidRDefault="006A713A" w:rsidP="006A713A">
      <w:pPr>
        <w:numPr>
          <w:ilvl w:val="0"/>
          <w:numId w:val="5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заполнении графы "</w:t>
      </w:r>
      <w:r>
        <w:rPr>
          <w:rStyle w:val="a3"/>
          <w:rFonts w:ascii="PT-Astra-Sans-Regular" w:hAnsi="PT-Astra-Sans-Regular"/>
          <w:color w:val="252525"/>
          <w:sz w:val="19"/>
          <w:szCs w:val="19"/>
        </w:rPr>
        <w:t>Вид приобретенного имущества</w:t>
      </w:r>
      <w:r>
        <w:rPr>
          <w:rFonts w:ascii="PT-Astra-Sans-Regular" w:hAnsi="PT-Astra-Sans-Regular"/>
          <w:color w:val="252525"/>
          <w:sz w:val="19"/>
          <w:szCs w:val="19"/>
        </w:rPr>
        <w:t>"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6A713A" w:rsidRDefault="006A713A" w:rsidP="006A713A">
      <w:pPr>
        <w:numPr>
          <w:ilvl w:val="0"/>
          <w:numId w:val="5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заполнении графы "</w:t>
      </w:r>
      <w:r>
        <w:rPr>
          <w:rStyle w:val="a3"/>
          <w:rFonts w:ascii="PT-Astra-Sans-Regular" w:hAnsi="PT-Astra-Sans-Regular"/>
          <w:color w:val="252525"/>
          <w:sz w:val="19"/>
          <w:szCs w:val="19"/>
        </w:rPr>
        <w:t>Источник получения средств, за счет которых приобретено имущество</w:t>
      </w:r>
      <w:r>
        <w:rPr>
          <w:rFonts w:ascii="PT-Astra-Sans-Regular" w:hAnsi="PT-Astra-Sans-Regular"/>
          <w:color w:val="252525"/>
          <w:sz w:val="19"/>
          <w:szCs w:val="19"/>
        </w:rPr>
        <w:t>"следует указывать наименование источника получения средств и размер полученного дохода по каждому из источников.</w:t>
      </w:r>
    </w:p>
    <w:p w:rsidR="006A713A" w:rsidRDefault="006A713A" w:rsidP="006A713A">
      <w:pPr>
        <w:numPr>
          <w:ilvl w:val="0"/>
          <w:numId w:val="5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A713A" w:rsidRDefault="006A713A" w:rsidP="006A713A">
      <w:pPr>
        <w:numPr>
          <w:ilvl w:val="0"/>
          <w:numId w:val="5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A713A" w:rsidRDefault="006A713A" w:rsidP="006A713A">
      <w:pPr>
        <w:numPr>
          <w:ilvl w:val="0"/>
          <w:numId w:val="5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"Основания приобретения имущества"</w:t>
      </w:r>
      <w:r>
        <w:rPr>
          <w:rFonts w:ascii="PT-Astra-Sans-Regular" w:hAnsi="PT-Astra-Sans-Regular"/>
          <w:color w:val="252525"/>
          <w:sz w:val="19"/>
          <w:szCs w:val="19"/>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6A713A" w:rsidRDefault="006A713A" w:rsidP="006A713A">
      <w:pPr>
        <w:numPr>
          <w:ilvl w:val="0"/>
          <w:numId w:val="53"/>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t>Особенности заполнения раздела "Сведения о расходах"</w:t>
      </w:r>
      <w:r>
        <w:rPr>
          <w:rFonts w:ascii="PT-Astra-Sans-Regular" w:hAnsi="PT-Astra-Sans-Regular"/>
          <w:color w:val="252525"/>
          <w:sz w:val="19"/>
          <w:szCs w:val="19"/>
        </w:rPr>
        <w:t>:</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1) приобретение недвижимого имущества посредством участия в долевом строительстве.</w:t>
      </w:r>
      <w:r>
        <w:rPr>
          <w:rFonts w:ascii="PT-Astra-Sans-Regular" w:hAnsi="PT-Astra-Sans-Regular"/>
          <w:color w:val="252525"/>
          <w:sz w:val="19"/>
          <w:szCs w:val="19"/>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w:t>
      </w:r>
      <w:r>
        <w:rPr>
          <w:rFonts w:ascii="PT-Astra-Sans-Regular" w:hAnsi="PT-Astra-Sans-Regular"/>
          <w:color w:val="252525"/>
          <w:sz w:val="19"/>
          <w:szCs w:val="19"/>
        </w:rPr>
        <w:lastRenderedPageBreak/>
        <w:t>имеет значения, оформлялся ли кредитный договор с банком или иной кредитной организацией для оплаты по указанному договору.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2) приобретение недвижимого имущества посредством участия в кооперативе.</w:t>
      </w:r>
      <w:r>
        <w:rPr>
          <w:rFonts w:ascii="PT-Astra-Sans-Regular" w:hAnsi="PT-Astra-Sans-Regular"/>
          <w:color w:val="252525"/>
          <w:sz w:val="19"/>
          <w:szCs w:val="19"/>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3) приобретение ценных бумаг.</w:t>
      </w:r>
      <w:r>
        <w:rPr>
          <w:rFonts w:ascii="PT-Astra-Sans-Regular" w:hAnsi="PT-Astra-Sans-Regular"/>
          <w:color w:val="252525"/>
          <w:sz w:val="19"/>
          <w:szCs w:val="19"/>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3. СВЕДЕНИЯ ОБ ИМУЩЕСТВЕ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Подраздел 3.1 Недвижимое имущество</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numPr>
          <w:ilvl w:val="0"/>
          <w:numId w:val="5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A713A" w:rsidRDefault="006A713A" w:rsidP="006A713A">
      <w:pPr>
        <w:numPr>
          <w:ilvl w:val="0"/>
          <w:numId w:val="5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Также в данном подразделе подлежат отражению объекты недвижимого имущества, принадлежащие на праве собственностигражданину, зарегистрированному в качестве индивидуального предпринимателя.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6A713A" w:rsidRDefault="006A713A" w:rsidP="006A713A">
      <w:pPr>
        <w:numPr>
          <w:ilvl w:val="0"/>
          <w:numId w:val="5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6A713A" w:rsidRDefault="006A713A" w:rsidP="006A713A">
      <w:pPr>
        <w:numPr>
          <w:ilvl w:val="0"/>
          <w:numId w:val="5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6A713A" w:rsidRDefault="006A713A" w:rsidP="006A713A">
      <w:pPr>
        <w:numPr>
          <w:ilvl w:val="0"/>
          <w:numId w:val="5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6A713A" w:rsidRDefault="006A713A" w:rsidP="006A713A">
      <w:pPr>
        <w:numPr>
          <w:ilvl w:val="0"/>
          <w:numId w:val="5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Заполнение графы </w:t>
      </w:r>
      <w:r>
        <w:rPr>
          <w:rStyle w:val="a3"/>
          <w:rFonts w:ascii="PT-Astra-Sans-Regular" w:hAnsi="PT-Astra-Sans-Regular"/>
          <w:color w:val="252525"/>
          <w:sz w:val="19"/>
          <w:szCs w:val="19"/>
        </w:rPr>
        <w:t>"Вид и наименование имущества"</w:t>
      </w:r>
    </w:p>
    <w:p w:rsidR="006A713A" w:rsidRDefault="006A713A" w:rsidP="006A713A">
      <w:pPr>
        <w:numPr>
          <w:ilvl w:val="0"/>
          <w:numId w:val="5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указании сведений о </w:t>
      </w:r>
      <w:r>
        <w:rPr>
          <w:rStyle w:val="a3"/>
          <w:rFonts w:ascii="PT-Astra-Sans-Regular" w:hAnsi="PT-Astra-Sans-Regular"/>
          <w:color w:val="252525"/>
          <w:sz w:val="19"/>
          <w:szCs w:val="19"/>
        </w:rPr>
        <w:t>земельных участках</w:t>
      </w:r>
      <w:r>
        <w:rPr>
          <w:rFonts w:ascii="PT-Astra-Sans-Regular" w:hAnsi="PT-Astra-Sans-Regular"/>
          <w:color w:val="252525"/>
          <w:sz w:val="19"/>
          <w:szCs w:val="19"/>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A713A" w:rsidRDefault="006A713A" w:rsidP="006A713A">
      <w:pPr>
        <w:numPr>
          <w:ilvl w:val="0"/>
          <w:numId w:val="5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A713A" w:rsidRDefault="006A713A" w:rsidP="006A713A">
      <w:pPr>
        <w:numPr>
          <w:ilvl w:val="0"/>
          <w:numId w:val="5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6A713A" w:rsidRDefault="006A713A" w:rsidP="006A713A">
      <w:pPr>
        <w:numPr>
          <w:ilvl w:val="0"/>
          <w:numId w:val="5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наличии в собственности </w:t>
      </w:r>
      <w:r>
        <w:rPr>
          <w:rStyle w:val="a3"/>
          <w:rFonts w:ascii="PT-Astra-Sans-Regular" w:hAnsi="PT-Astra-Sans-Regular"/>
          <w:color w:val="252525"/>
          <w:sz w:val="19"/>
          <w:szCs w:val="19"/>
        </w:rPr>
        <w:t>жилого или садового дома,</w:t>
      </w:r>
      <w:r>
        <w:rPr>
          <w:rFonts w:ascii="PT-Astra-Sans-Regular" w:hAnsi="PT-Astra-Sans-Regular"/>
          <w:color w:val="252525"/>
          <w:sz w:val="19"/>
          <w:szCs w:val="19"/>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"Имущество, находящееся в собственности" или подразделе 6.1 "Имущество, находящееся в пользовании".</w:t>
      </w:r>
    </w:p>
    <w:p w:rsidR="006A713A" w:rsidRDefault="006A713A" w:rsidP="006A713A">
      <w:pPr>
        <w:numPr>
          <w:ilvl w:val="0"/>
          <w:numId w:val="5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строке 4 "</w:t>
      </w:r>
      <w:r>
        <w:rPr>
          <w:rStyle w:val="a3"/>
          <w:rFonts w:ascii="PT-Astra-Sans-Regular" w:hAnsi="PT-Astra-Sans-Regular"/>
          <w:color w:val="252525"/>
          <w:sz w:val="19"/>
          <w:szCs w:val="19"/>
        </w:rPr>
        <w:t>Гаражи</w:t>
      </w:r>
      <w:r>
        <w:rPr>
          <w:rFonts w:ascii="PT-Astra-Sans-Regular" w:hAnsi="PT-Astra-Sans-Regular"/>
          <w:color w:val="252525"/>
          <w:sz w:val="19"/>
          <w:szCs w:val="19"/>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строением,в зависимости от наличия зарегистрированного права собственности подлежит указанию в подразделе 3.1 "Недвижимое имущество" или подразделе 6.1 "Объекты недвижимого имущества, находящиеся в пользовании".</w:t>
      </w:r>
    </w:p>
    <w:p w:rsidR="006A713A" w:rsidRDefault="006A713A" w:rsidP="006A713A">
      <w:pPr>
        <w:numPr>
          <w:ilvl w:val="0"/>
          <w:numId w:val="5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"Вид собственности"</w:t>
      </w:r>
      <w:r>
        <w:rPr>
          <w:rFonts w:ascii="PT-Astra-Sans-Regular" w:hAnsi="PT-Astra-Sans-Regular"/>
          <w:color w:val="252525"/>
          <w:sz w:val="19"/>
          <w:szCs w:val="19"/>
        </w:rPr>
        <w:t> указывается вид собственности на имущество (индивидуальная, общая совместная, общая долевая).</w:t>
      </w:r>
    </w:p>
    <w:p w:rsidR="006A713A" w:rsidRDefault="006A713A" w:rsidP="006A713A">
      <w:pPr>
        <w:numPr>
          <w:ilvl w:val="0"/>
          <w:numId w:val="5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A713A" w:rsidRDefault="006A713A" w:rsidP="006A713A">
      <w:pPr>
        <w:numPr>
          <w:ilvl w:val="0"/>
          <w:numId w:val="5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6A713A" w:rsidRDefault="006A713A" w:rsidP="006A713A">
      <w:pPr>
        <w:numPr>
          <w:ilvl w:val="0"/>
          <w:numId w:val="58"/>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t>Местонахождение (адрес)</w:t>
      </w:r>
      <w:r>
        <w:rPr>
          <w:rFonts w:ascii="PT-Astra-Sans-Regular" w:hAnsi="PT-Astra-Sans-Regular"/>
          <w:color w:val="252525"/>
          <w:sz w:val="19"/>
          <w:szCs w:val="19"/>
        </w:rPr>
        <w:t> недвижимого имущества указывается согласно правоустанавливающим документам. При этом указывается: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субъект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район;</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город, иной населенный пункт (село, поселок и т.д.);</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улица (проспект, переулок и т.д.);</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номер дома (владения, участка), корпуса (строения), квартиры.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Также рекомендуется указывать индекс.</w:t>
      </w:r>
    </w:p>
    <w:p w:rsidR="006A713A" w:rsidRDefault="006A713A" w:rsidP="006A713A">
      <w:pPr>
        <w:numPr>
          <w:ilvl w:val="0"/>
          <w:numId w:val="5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Если недвижимое имущество находится за рубежом, то указывается: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наименование государства;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населенный пункт (иная единица административно-территориального деления);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почтовый адрес.</w:t>
      </w:r>
    </w:p>
    <w:p w:rsidR="006A713A" w:rsidRDefault="006A713A" w:rsidP="006A713A">
      <w:pPr>
        <w:numPr>
          <w:ilvl w:val="0"/>
          <w:numId w:val="60"/>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t>Площадь </w:t>
      </w:r>
      <w:r>
        <w:rPr>
          <w:rFonts w:ascii="PT-Astra-Sans-Regular" w:hAnsi="PT-Astra-Sans-Regular"/>
          <w:color w:val="252525"/>
          <w:sz w:val="19"/>
          <w:szCs w:val="19"/>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A713A" w:rsidRDefault="006A713A" w:rsidP="006A713A">
      <w:pPr>
        <w:numPr>
          <w:ilvl w:val="0"/>
          <w:numId w:val="6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Основание приобретения и источники средств</w:t>
      </w:r>
    </w:p>
    <w:p w:rsidR="006A713A" w:rsidRDefault="006A713A" w:rsidP="006A713A">
      <w:pPr>
        <w:numPr>
          <w:ilvl w:val="0"/>
          <w:numId w:val="6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A713A" w:rsidRDefault="006A713A" w:rsidP="006A713A">
      <w:pPr>
        <w:numPr>
          <w:ilvl w:val="0"/>
          <w:numId w:val="6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городаN от 15.03.1995 г. № 1-345/95 о передаче недвижимого имущества в собственность и др.).</w:t>
      </w:r>
    </w:p>
    <w:p w:rsidR="006A713A" w:rsidRDefault="006A713A" w:rsidP="006A713A">
      <w:pPr>
        <w:numPr>
          <w:ilvl w:val="0"/>
          <w:numId w:val="6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марта2020 г.; договор купли-продажи от 19 февраля 2020г. или иное</w:t>
      </w:r>
    </w:p>
    <w:p w:rsidR="006A713A" w:rsidRDefault="006A713A" w:rsidP="006A713A">
      <w:pPr>
        <w:numPr>
          <w:ilvl w:val="0"/>
          <w:numId w:val="6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Обязанность сообщать сведения об </w:t>
      </w:r>
      <w:r>
        <w:rPr>
          <w:rStyle w:val="a3"/>
          <w:rFonts w:ascii="PT-Astra-Sans-Regular" w:hAnsi="PT-Astra-Sans-Regular"/>
          <w:color w:val="252525"/>
          <w:sz w:val="19"/>
          <w:szCs w:val="19"/>
        </w:rPr>
        <w:t>источнике средств</w:t>
      </w:r>
      <w:r>
        <w:rPr>
          <w:rFonts w:ascii="PT-Astra-Sans-Regular" w:hAnsi="PT-Astra-Sans-Regular"/>
          <w:color w:val="252525"/>
          <w:sz w:val="19"/>
          <w:szCs w:val="19"/>
        </w:rPr>
        <w:t>, за счет которых приобретено имущество, находящееся за пределами территории Российской Федерации, распространяется </w:t>
      </w:r>
      <w:r>
        <w:rPr>
          <w:rStyle w:val="a3"/>
          <w:rFonts w:ascii="PT-Astra-Sans-Regular" w:hAnsi="PT-Astra-Sans-Regular"/>
          <w:color w:val="252525"/>
          <w:sz w:val="19"/>
          <w:szCs w:val="19"/>
        </w:rPr>
        <w:t>только</w:t>
      </w:r>
      <w:r>
        <w:rPr>
          <w:rFonts w:ascii="PT-Astra-Sans-Regular" w:hAnsi="PT-Astra-Sans-Regular"/>
          <w:color w:val="252525"/>
          <w:sz w:val="19"/>
          <w:szCs w:val="19"/>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на лиц, замещающих (занимающих):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государственные должности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должности первого заместителя и заместителей Генерального прокурора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должности членов Совета директоров Центрального банка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государственные должности субъектов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должности заместителей руководителей федеральных органов исполнительной власти;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на супруг (супругов), несовершеннолетних детей лиц, указанных в абзацах втором-десятом подпункта 1 настоящего пункта;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иных лиц в случаях, предусмотренных федеральными законами.</w:t>
      </w:r>
    </w:p>
    <w:p w:rsidR="006A713A" w:rsidRDefault="006A713A" w:rsidP="006A713A">
      <w:pPr>
        <w:numPr>
          <w:ilvl w:val="0"/>
          <w:numId w:val="6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Style w:val="a3"/>
          <w:rFonts w:ascii="PT-Astra-Sans-Regular" w:hAnsi="PT-Astra-Sans-Regular"/>
          <w:color w:val="252525"/>
          <w:sz w:val="19"/>
          <w:szCs w:val="19"/>
        </w:rPr>
        <w:t>исключительно</w:t>
      </w:r>
      <w:r>
        <w:rPr>
          <w:rFonts w:ascii="PT-Astra-Sans-Regular" w:hAnsi="PT-Astra-Sans-Regular"/>
          <w:color w:val="252525"/>
          <w:sz w:val="19"/>
          <w:szCs w:val="19"/>
        </w:rPr>
        <w:t> за пределами территории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Сведения о вышеуказанном источнике отображаются в справке ежегодно, вне зависимости от года приобретения имущества.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Подраздел 3.2. Транспортные средства</w:t>
      </w:r>
    </w:p>
    <w:p w:rsidR="006A713A" w:rsidRDefault="006A713A" w:rsidP="006A713A">
      <w:pPr>
        <w:numPr>
          <w:ilvl w:val="0"/>
          <w:numId w:val="6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A713A" w:rsidRDefault="006A713A" w:rsidP="006A713A">
      <w:pPr>
        <w:numPr>
          <w:ilvl w:val="0"/>
          <w:numId w:val="6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декабря2019 г. № 1764).</w:t>
      </w:r>
    </w:p>
    <w:p w:rsidR="006A713A" w:rsidRDefault="006A713A" w:rsidP="006A713A">
      <w:pPr>
        <w:numPr>
          <w:ilvl w:val="0"/>
          <w:numId w:val="6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6A713A" w:rsidRDefault="006A713A" w:rsidP="006A713A">
      <w:pPr>
        <w:numPr>
          <w:ilvl w:val="0"/>
          <w:numId w:val="6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служащего.При заполнении графы</w:t>
      </w:r>
      <w:r>
        <w:rPr>
          <w:rStyle w:val="a3"/>
          <w:rFonts w:ascii="PT-Astra-Sans-Regular" w:hAnsi="PT-Astra-Sans-Regular"/>
          <w:color w:val="252525"/>
          <w:sz w:val="19"/>
          <w:szCs w:val="19"/>
        </w:rPr>
        <w:t>"Место регистрации"</w:t>
      </w:r>
      <w:r>
        <w:rPr>
          <w:rFonts w:ascii="PT-Astra-Sans-Regular" w:hAnsi="PT-Astra-Sans-Regular"/>
          <w:color w:val="252525"/>
          <w:sz w:val="19"/>
          <w:szCs w:val="19"/>
        </w:rPr>
        <w:t>указывается наименование органа внутренних дел, осуществившего регистрационный учет транспортного средства, например </w:t>
      </w:r>
      <w:hyperlink r:id="rId15" w:history="1">
        <w:r>
          <w:rPr>
            <w:rStyle w:val="a6"/>
            <w:rFonts w:ascii="PT-Astra-Sans-Regular" w:hAnsi="PT-Astra-Sans-Regular"/>
            <w:color w:val="0345BF"/>
            <w:sz w:val="19"/>
            <w:szCs w:val="19"/>
          </w:rPr>
          <w:t>МО ГИБДД ТНРЭР № 2 ГУ МВД России по г. Москве</w:t>
        </w:r>
      </w:hyperlink>
      <w:r>
        <w:rPr>
          <w:rFonts w:ascii="PT-Astra-Sans-Regular" w:hAnsi="PT-Astra-Sans-Regular"/>
          <w:color w:val="252525"/>
          <w:sz w:val="19"/>
          <w:szCs w:val="19"/>
        </w:rPr>
        <w:t>, </w:t>
      </w:r>
      <w:hyperlink r:id="rId16" w:history="1">
        <w:r>
          <w:rPr>
            <w:rStyle w:val="a6"/>
            <w:rFonts w:ascii="PT-Astra-Sans-Regular" w:hAnsi="PT-Astra-Sans-Regular"/>
            <w:color w:val="0345BF"/>
            <w:sz w:val="19"/>
            <w:szCs w:val="19"/>
          </w:rPr>
          <w:t>ОГИБДД ММО МВД России "Шалинский</w:t>
        </w:r>
      </w:hyperlink>
      <w:r>
        <w:rPr>
          <w:rFonts w:ascii="PT-Astra-Sans-Regular" w:hAnsi="PT-Astra-Sans-Regular"/>
          <w:color w:val="252525"/>
          <w:sz w:val="19"/>
          <w:szCs w:val="19"/>
        </w:rPr>
        <w:t>", </w:t>
      </w:r>
      <w:hyperlink r:id="rId17" w:history="1">
        <w:r>
          <w:rPr>
            <w:rStyle w:val="a6"/>
            <w:rFonts w:ascii="PT-Astra-Sans-Regular" w:hAnsi="PT-Astra-Sans-Regular"/>
            <w:color w:val="0345BF"/>
            <w:sz w:val="19"/>
            <w:szCs w:val="19"/>
          </w:rPr>
          <w:t>ОГИБДД ММО МВД России по Новолялинскому району</w:t>
        </w:r>
      </w:hyperlink>
      <w:r>
        <w:rPr>
          <w:rFonts w:ascii="PT-Astra-Sans-Regular" w:hAnsi="PT-Astra-Sans-Regular"/>
          <w:color w:val="252525"/>
          <w:sz w:val="19"/>
          <w:szCs w:val="19"/>
        </w:rPr>
        <w:t>, 3 отд. МОТОТРЭР ГИБДД УВД по ЦАО г. Москвы и т.д. Указанные данные заполняются согласно паспорту транспортного средства.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Также допускается указание кода подразделения ГИБДД в соответствии со свидетельством о регистрации транспортного средства.</w:t>
      </w:r>
    </w:p>
    <w:p w:rsidR="006A713A" w:rsidRDefault="006A713A" w:rsidP="006A713A">
      <w:pPr>
        <w:numPr>
          <w:ilvl w:val="0"/>
          <w:numId w:val="6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Аналогичным подходом необходимо руководствоваться при указании в данном подразделе водного, воздушного транспорта.</w:t>
      </w:r>
    </w:p>
    <w:p w:rsidR="006A713A" w:rsidRDefault="006A713A" w:rsidP="006A713A">
      <w:pPr>
        <w:numPr>
          <w:ilvl w:val="0"/>
          <w:numId w:val="6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строке 7 "Иные транспортные средства" подлежат указанию, в частности, прицепы, зарегистрированные в установленном порядке.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4. СВЕДЕНИЯ О СЧЕТАХ В БАНКАХ И ИНЫХ КРЕДИТНЫХ ОРГАНИЗАЦИЯХ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 </w:t>
      </w:r>
    </w:p>
    <w:p w:rsidR="006A713A" w:rsidRDefault="006A713A" w:rsidP="006A713A">
      <w:pPr>
        <w:numPr>
          <w:ilvl w:val="0"/>
          <w:numId w:val="6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6A713A" w:rsidRDefault="006A713A" w:rsidP="006A713A">
      <w:pPr>
        <w:numPr>
          <w:ilvl w:val="0"/>
          <w:numId w:val="6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счета с нулевым остатком по состоянию на отчетную дату;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счета (вклады) в иностранных банках, расположенных за пределами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счета, открытые для погашения кредита;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вклады (счета) в драгоценных металлах (в том числе указывается вид счета и металл, в котором он открыт);</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номинальный счет;</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счет эскроу.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Pr>
            <w:rStyle w:val="a6"/>
            <w:rFonts w:ascii="PT-Astra-Sans-Regular" w:hAnsi="PT-Astra-Sans-Regular"/>
            <w:color w:val="0345BF"/>
            <w:sz w:val="19"/>
            <w:szCs w:val="19"/>
          </w:rPr>
          <w:t>https://www.cbr.ru/hd_base/metall/metall_base_new/</w:t>
        </w:r>
      </w:hyperlink>
      <w:r>
        <w:rPr>
          <w:rFonts w:ascii="PT-Astra-Sans-Regular" w:hAnsi="PT-Astra-Sans-Regular"/>
          <w:color w:val="252525"/>
          <w:sz w:val="19"/>
          <w:szCs w:val="19"/>
        </w:rPr>
        <w:t>.</w:t>
      </w:r>
    </w:p>
    <w:p w:rsidR="006A713A" w:rsidRDefault="006A713A" w:rsidP="006A713A">
      <w:pPr>
        <w:numPr>
          <w:ilvl w:val="0"/>
          <w:numId w:val="6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 учетом целей антикоррупционного законодательства Российской Федерации в данном разделе не указываются следующие счета: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счета, закрытые по состоянию на отчетную дату;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депозитные счета нотариуса;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счета доверительного управления;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открываемые не на основании гражданско-правового договора счета, счета депо, счета брокера, индивидуальные инвестиционные счета;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синтетические счета.</w:t>
      </w:r>
    </w:p>
    <w:p w:rsidR="006A713A" w:rsidRDefault="006A713A" w:rsidP="006A713A">
      <w:pPr>
        <w:numPr>
          <w:ilvl w:val="0"/>
          <w:numId w:val="6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6A713A" w:rsidRDefault="006A713A" w:rsidP="006A713A">
      <w:pPr>
        <w:numPr>
          <w:ilvl w:val="0"/>
          <w:numId w:val="6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6A713A" w:rsidRDefault="006A713A" w:rsidP="006A713A">
      <w:pPr>
        <w:numPr>
          <w:ilvl w:val="0"/>
          <w:numId w:val="6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соответствии с указанной Инструкцией физическим лицам открываются следующие счета: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1) текущий счет (для совершения операций, не связанных с предпринимательской деятельностью или частной практикой);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6A713A" w:rsidRDefault="006A713A" w:rsidP="006A713A">
      <w:pPr>
        <w:numPr>
          <w:ilvl w:val="0"/>
          <w:numId w:val="7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"Дата открытия счета"не допускается указание даты выпуска (перевыпуска) платежной карты.</w:t>
      </w:r>
    </w:p>
    <w:p w:rsidR="006A713A" w:rsidRDefault="006A713A" w:rsidP="006A713A">
      <w:pPr>
        <w:numPr>
          <w:ilvl w:val="0"/>
          <w:numId w:val="7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Графа "Остаток на счете" заполняется по состоянию на отчетную дату.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Pr>
            <w:rStyle w:val="a6"/>
            <w:rFonts w:ascii="PT-Astra-Sans-Regular" w:hAnsi="PT-Astra-Sans-Regular"/>
            <w:color w:val="0345BF"/>
            <w:sz w:val="19"/>
            <w:szCs w:val="19"/>
          </w:rPr>
          <w:t>https://www.cbr.ru/currency_base/</w:t>
        </w:r>
      </w:hyperlink>
      <w:r>
        <w:rPr>
          <w:rFonts w:ascii="PT-Astra-Sans-Regular" w:hAnsi="PT-Astra-Sans-Regular"/>
          <w:color w:val="252525"/>
          <w:sz w:val="19"/>
          <w:szCs w:val="19"/>
        </w:rPr>
        <w:t>.</w:t>
      </w:r>
    </w:p>
    <w:p w:rsidR="006A713A" w:rsidRDefault="006A713A" w:rsidP="006A713A">
      <w:pPr>
        <w:numPr>
          <w:ilvl w:val="0"/>
          <w:numId w:val="7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Графа "Сумма поступивших на счет денежных средств" заполняется </w:t>
      </w:r>
      <w:r>
        <w:rPr>
          <w:rStyle w:val="a3"/>
          <w:rFonts w:ascii="PT-Astra-Sans-Regular" w:hAnsi="PT-Astra-Sans-Regular"/>
          <w:color w:val="252525"/>
          <w:sz w:val="19"/>
          <w:szCs w:val="19"/>
        </w:rPr>
        <w:t>только</w:t>
      </w:r>
      <w:r>
        <w:rPr>
          <w:rFonts w:ascii="PT-Astra-Sans-Regular" w:hAnsi="PT-Astra-Sans-Regular"/>
          <w:color w:val="252525"/>
          <w:sz w:val="19"/>
          <w:szCs w:val="19"/>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если общая сумма денежных поступлений на счет не превышает общий доход служащего (работника)и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MS Mincho" w:eastAsia="MS Mincho" w:hAnsi="MS Mincho" w:cs="MS Mincho" w:hint="eastAsia"/>
          <w:color w:val="252525"/>
          <w:sz w:val="19"/>
          <w:szCs w:val="19"/>
        </w:rPr>
        <w:t>✓</w:t>
      </w:r>
      <w:r>
        <w:rPr>
          <w:color w:val="252525"/>
          <w:sz w:val="19"/>
          <w:szCs w:val="19"/>
        </w:rPr>
        <w:t>] напротив соответствующей позиции. В противном случае необходимо заполнить соответс</w:t>
      </w:r>
      <w:r>
        <w:rPr>
          <w:rFonts w:ascii="PT-Astra-Sans-Regular" w:hAnsi="PT-Astra-Sans-Regular"/>
          <w:color w:val="252525"/>
          <w:sz w:val="19"/>
          <w:szCs w:val="19"/>
        </w:rPr>
        <w:t>твующие графы.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Для счетов в иностранной валюте сумма указывается в рублях по курсу Банка России на отчетную дату.</w:t>
      </w:r>
    </w:p>
    <w:p w:rsidR="006A713A" w:rsidRDefault="006A713A" w:rsidP="006A713A">
      <w:pPr>
        <w:numPr>
          <w:ilvl w:val="0"/>
          <w:numId w:val="7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организацию.Банком России издано Указание от 15 апреля2020 г. № 5440-У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lastRenderedPageBreak/>
        <w:t>Совместный счет</w:t>
      </w:r>
    </w:p>
    <w:p w:rsidR="006A713A" w:rsidRDefault="006A713A" w:rsidP="006A713A">
      <w:pPr>
        <w:numPr>
          <w:ilvl w:val="0"/>
          <w:numId w:val="7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данном случае в каждой подаваемой справке представляется идентичная информация о таком счете.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Кредитные карты, карты с овердрафтом</w:t>
      </w:r>
    </w:p>
    <w:p w:rsidR="006A713A" w:rsidRDefault="006A713A" w:rsidP="006A713A">
      <w:pPr>
        <w:numPr>
          <w:ilvl w:val="0"/>
          <w:numId w:val="7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Банк (иная кредитная организация) выпускает следующие виды карт (таблица № 5):</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931"/>
        <w:gridCol w:w="7454"/>
      </w:tblGrid>
      <w:tr w:rsidR="006A713A" w:rsidTr="006A713A">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Расчетная (дебетовая)</w:t>
            </w:r>
          </w:p>
        </w:tc>
        <w:tc>
          <w:tcPr>
            <w:tcW w:w="6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A713A" w:rsidTr="006A713A">
        <w:tc>
          <w:tcPr>
            <w:tcW w:w="1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Кредитная</w:t>
            </w:r>
          </w:p>
        </w:tc>
        <w:tc>
          <w:tcPr>
            <w:tcW w:w="6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A713A" w:rsidRDefault="006A713A">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Как электронное средство платежа используется для совершения ее держателем операций за счет</w:t>
            </w:r>
            <w:r>
              <w:rPr>
                <w:rFonts w:ascii="PT-Astra-Sans-Regular" w:hAnsi="PT-Astra-Sans-Regular"/>
                <w:color w:val="252525"/>
                <w:sz w:val="19"/>
                <w:szCs w:val="19"/>
              </w:rPr>
              <w:br/>
              <w:t>денежных средств, предоставленных кредитной</w:t>
            </w:r>
            <w:r>
              <w:rPr>
                <w:rFonts w:ascii="PT-Astra-Sans-Regular" w:hAnsi="PT-Astra-Sans-Regular"/>
                <w:color w:val="252525"/>
                <w:sz w:val="19"/>
                <w:szCs w:val="19"/>
              </w:rPr>
              <w:br/>
              <w:t>организацией - эмитентом клиенту в пределах расходного лимита в соответствии с условиями кредитного договора.</w:t>
            </w:r>
          </w:p>
        </w:tc>
      </w:tr>
    </w:tbl>
    <w:p w:rsidR="006A713A" w:rsidRDefault="006A713A" w:rsidP="006A713A">
      <w:pPr>
        <w:numPr>
          <w:ilvl w:val="0"/>
          <w:numId w:val="7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Расчетная (дебетовая) и кредитные карты, как правило, предполагают открытие и ведение банком (иной кредитной организацией) счета.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hyperlink r:id="rId20" w:history="1">
        <w:r>
          <w:rPr>
            <w:rStyle w:val="a6"/>
            <w:rFonts w:ascii="PT-Astra-Sans-Regular" w:hAnsi="PT-Astra-Sans-Regular"/>
            <w:color w:val="0345BF"/>
            <w:sz w:val="19"/>
            <w:szCs w:val="19"/>
          </w:rPr>
          <w:t>https://www.nalog.ru/rn77/related_activities/accounting/bank_account/</w:t>
        </w:r>
      </w:hyperlink>
      <w:r>
        <w:rPr>
          <w:rFonts w:ascii="PT-Astra-Sans-Regular" w:hAnsi="PT-Astra-Sans-Regular"/>
          <w:color w:val="252525"/>
          <w:sz w:val="19"/>
          <w:szCs w:val="19"/>
        </w:rPr>
        <w:t>.</w:t>
      </w:r>
    </w:p>
    <w:p w:rsidR="006A713A" w:rsidRDefault="006A713A" w:rsidP="006A713A">
      <w:pPr>
        <w:numPr>
          <w:ilvl w:val="0"/>
          <w:numId w:val="7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случае, если предоставленный кредит (израсходованный овердрафт) по расчетной (дебетовой) карте равен или превышает500000 руб., то возникшее в этой связи обязательство финансового характера необходимо указать в подразделе 6.2 раздела 6 справки.</w:t>
      </w:r>
    </w:p>
    <w:p w:rsidR="006A713A" w:rsidRDefault="006A713A" w:rsidP="006A713A">
      <w:pPr>
        <w:numPr>
          <w:ilvl w:val="0"/>
          <w:numId w:val="7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случае, если расходный лимит кредитной карты равен или превышает500 000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6A713A" w:rsidRDefault="006A713A" w:rsidP="006A713A">
      <w:pPr>
        <w:numPr>
          <w:ilvl w:val="0"/>
          <w:numId w:val="7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A713A" w:rsidRDefault="006A713A" w:rsidP="006A713A">
      <w:pPr>
        <w:numPr>
          <w:ilvl w:val="0"/>
          <w:numId w:val="7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6A713A" w:rsidRDefault="006A713A" w:rsidP="006A713A">
      <w:pPr>
        <w:numPr>
          <w:ilvl w:val="0"/>
          <w:numId w:val="7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данном разделе </w:t>
      </w:r>
      <w:r>
        <w:rPr>
          <w:rStyle w:val="a3"/>
          <w:rFonts w:ascii="PT-Astra-Sans-Regular" w:hAnsi="PT-Astra-Sans-Regular"/>
          <w:color w:val="252525"/>
          <w:sz w:val="19"/>
          <w:szCs w:val="19"/>
        </w:rPr>
        <w:t>не указываются счета</w:t>
      </w:r>
      <w:r>
        <w:rPr>
          <w:rFonts w:ascii="PT-Astra-Sans-Regular" w:hAnsi="PT-Astra-Sans-Regular"/>
          <w:color w:val="252525"/>
          <w:sz w:val="19"/>
          <w:szCs w:val="19"/>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Отзыв лицензии у кредитной организации</w:t>
      </w:r>
    </w:p>
    <w:p w:rsidR="006A713A" w:rsidRDefault="006A713A" w:rsidP="006A713A">
      <w:pPr>
        <w:numPr>
          <w:ilvl w:val="0"/>
          <w:numId w:val="7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6A713A" w:rsidRDefault="006A713A" w:rsidP="006A713A">
      <w:pPr>
        <w:numPr>
          <w:ilvl w:val="0"/>
          <w:numId w:val="7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6A713A" w:rsidRDefault="006A713A" w:rsidP="006A713A">
      <w:pPr>
        <w:numPr>
          <w:ilvl w:val="0"/>
          <w:numId w:val="7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 момента закрытия соответствующего счета, счет считается открытым и подлежит отражению в разделе 4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Ликвидация кредитной организации</w:t>
      </w:r>
    </w:p>
    <w:p w:rsidR="006A713A" w:rsidRDefault="006A713A" w:rsidP="006A713A">
      <w:pPr>
        <w:numPr>
          <w:ilvl w:val="0"/>
          <w:numId w:val="7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A713A" w:rsidRDefault="006A713A" w:rsidP="006A713A">
      <w:pPr>
        <w:numPr>
          <w:ilvl w:val="0"/>
          <w:numId w:val="7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Pr>
            <w:rStyle w:val="a6"/>
            <w:rFonts w:ascii="PT-Astra-Sans-Regular" w:hAnsi="PT-Astra-Sans-Regular"/>
            <w:color w:val="0345BF"/>
            <w:sz w:val="19"/>
            <w:szCs w:val="19"/>
          </w:rPr>
          <w:t>https://www.cbr.ru/banking_sector/likvidbase/</w:t>
        </w:r>
      </w:hyperlink>
      <w:r>
        <w:rPr>
          <w:rFonts w:ascii="PT-Astra-Sans-Regular" w:hAnsi="PT-Astra-Sans-Regular"/>
          <w:color w:val="252525"/>
          <w:sz w:val="19"/>
          <w:szCs w:val="19"/>
        </w:rPr>
        <w:t>.</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5. СВЕДЕНИЯ О ЦЕННЫХ БУМАГАХ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numPr>
          <w:ilvl w:val="0"/>
          <w:numId w:val="7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Подраздел 5.1. Акции и иное участие в коммерческих организациях и фондах</w:t>
      </w:r>
    </w:p>
    <w:p w:rsidR="006A713A" w:rsidRDefault="006A713A" w:rsidP="006A713A">
      <w:pPr>
        <w:numPr>
          <w:ilvl w:val="0"/>
          <w:numId w:val="8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соответствии с Федеральным законом от 22 апреля 1996 г.</w:t>
      </w:r>
      <w:r>
        <w:rPr>
          <w:rFonts w:ascii="PT-Astra-Sans-Regular" w:hAnsi="PT-Astra-Sans-Regular"/>
          <w:color w:val="252525"/>
          <w:sz w:val="19"/>
          <w:szCs w:val="19"/>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A713A" w:rsidRDefault="006A713A" w:rsidP="006A713A">
      <w:pPr>
        <w:numPr>
          <w:ilvl w:val="0"/>
          <w:numId w:val="8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"Наименование и организационно-правовая форма организации</w:t>
      </w:r>
      <w:r>
        <w:rPr>
          <w:rFonts w:ascii="PT-Astra-Sans-Regular" w:hAnsi="PT-Astra-Sans-Regular"/>
          <w:color w:val="252525"/>
          <w:sz w:val="19"/>
          <w:szCs w:val="19"/>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если служащий (работник) является учредителем коммерческой организации, то данную информацию также необходимо отразить.</w:t>
      </w:r>
    </w:p>
    <w:p w:rsidR="006A713A" w:rsidRDefault="006A713A" w:rsidP="006A713A">
      <w:pPr>
        <w:numPr>
          <w:ilvl w:val="0"/>
          <w:numId w:val="81"/>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lastRenderedPageBreak/>
        <w:t>Уставный капитал</w:t>
      </w:r>
      <w:r>
        <w:rPr>
          <w:rFonts w:ascii="PT-Astra-Sans-Regular" w:hAnsi="PT-Astra-Sans-Regular"/>
          <w:color w:val="252525"/>
          <w:sz w:val="19"/>
          <w:szCs w:val="19"/>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Pr>
            <w:rStyle w:val="a6"/>
            <w:rFonts w:ascii="PT-Astra-Sans-Regular" w:hAnsi="PT-Astra-Sans-Regular"/>
            <w:color w:val="0345BF"/>
            <w:sz w:val="19"/>
            <w:szCs w:val="19"/>
          </w:rPr>
          <w:t>https://www.cbr.ru/currency_base/daily/</w:t>
        </w:r>
      </w:hyperlink>
      <w:r>
        <w:rPr>
          <w:rFonts w:ascii="PT-Astra-Sans-Regular" w:hAnsi="PT-Astra-Sans-Regular"/>
          <w:color w:val="252525"/>
          <w:sz w:val="19"/>
          <w:szCs w:val="19"/>
        </w:rPr>
        <w:t>.</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Если законодательством не предусмотрено формирование уставного капитала, то указывается "0 руб.".</w:t>
      </w:r>
    </w:p>
    <w:p w:rsidR="006A713A" w:rsidRDefault="006A713A" w:rsidP="006A713A">
      <w:pPr>
        <w:numPr>
          <w:ilvl w:val="0"/>
          <w:numId w:val="82"/>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t>Доля участия </w:t>
      </w:r>
      <w:r>
        <w:rPr>
          <w:rFonts w:ascii="PT-Astra-Sans-Regular" w:hAnsi="PT-Astra-Sans-Regular"/>
          <w:color w:val="252525"/>
          <w:sz w:val="19"/>
          <w:szCs w:val="19"/>
        </w:rPr>
        <w:t>выражается в процентах от уставного капитала. Для акционерных обществ указываются также номинальная стоимость и количество акций.</w:t>
      </w:r>
    </w:p>
    <w:p w:rsidR="006A713A" w:rsidRDefault="006A713A" w:rsidP="006A713A">
      <w:pPr>
        <w:numPr>
          <w:ilvl w:val="0"/>
          <w:numId w:val="8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Основание участия</w:t>
      </w:r>
      <w:r>
        <w:rPr>
          <w:rFonts w:ascii="PT-Astra-Sans-Regular" w:hAnsi="PT-Astra-Sans-Regular"/>
          <w:color w:val="252525"/>
          <w:sz w:val="19"/>
          <w:szCs w:val="19"/>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Подраздел 5.2. Иные ценные бумаги</w:t>
      </w:r>
    </w:p>
    <w:p w:rsidR="006A713A" w:rsidRDefault="006A713A" w:rsidP="006A713A">
      <w:pPr>
        <w:numPr>
          <w:ilvl w:val="0"/>
          <w:numId w:val="8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Государственный сертификат на материнский (семейный) капитал не является ценной бумагой и не подлежит указанию в подразделе 5.2 справки.</w:t>
      </w:r>
    </w:p>
    <w:p w:rsidR="006A713A" w:rsidRDefault="006A713A" w:rsidP="006A713A">
      <w:pPr>
        <w:numPr>
          <w:ilvl w:val="0"/>
          <w:numId w:val="8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подразделе 5.2 указываются все ценные бумаги по видам (облигации, векселя и другие), за исключением акций, указанных в подразделе 5.1.</w:t>
      </w:r>
    </w:p>
    <w:p w:rsidR="006A713A" w:rsidRDefault="006A713A" w:rsidP="006A713A">
      <w:pPr>
        <w:numPr>
          <w:ilvl w:val="0"/>
          <w:numId w:val="8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Номинальная величина обязательства</w:t>
      </w:r>
      <w:r>
        <w:rPr>
          <w:rFonts w:ascii="PT-Astra-Sans-Regular" w:hAnsi="PT-Astra-Sans-Regular"/>
          <w:color w:val="252525"/>
          <w:sz w:val="19"/>
          <w:szCs w:val="19"/>
        </w:rPr>
        <w:t>"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A713A" w:rsidRDefault="006A713A" w:rsidP="006A713A">
      <w:pPr>
        <w:numPr>
          <w:ilvl w:val="0"/>
          <w:numId w:val="8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Общая стоимость</w:t>
      </w:r>
      <w:r>
        <w:rPr>
          <w:rFonts w:ascii="PT-Astra-Sans-Regular" w:hAnsi="PT-Astra-Sans-Regular"/>
          <w:color w:val="252525"/>
          <w:sz w:val="19"/>
          <w:szCs w:val="19"/>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Pr>
            <w:rStyle w:val="a6"/>
            <w:rFonts w:ascii="PT-Astra-Sans-Regular" w:hAnsi="PT-Astra-Sans-Regular"/>
            <w:color w:val="0345BF"/>
            <w:sz w:val="19"/>
            <w:szCs w:val="19"/>
          </w:rPr>
          <w:t>https://www.cbr.ru/currency_base/daily/</w:t>
        </w:r>
      </w:hyperlink>
      <w:r>
        <w:rPr>
          <w:rFonts w:ascii="PT-Astra-Sans-Regular" w:hAnsi="PT-Astra-Sans-Regular"/>
          <w:color w:val="252525"/>
          <w:sz w:val="19"/>
          <w:szCs w:val="19"/>
        </w:rPr>
        <w:t>.</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6. СВЕДЕНИЯ ОБ ОБЯЗАТЕЛЬСТВАХ ИМУЩЕСТВЕННОГО ХАРАКТЕРА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Подраздел 6.1. Объекты недвижимого имущества, находящиеся в пользовании</w:t>
      </w:r>
    </w:p>
    <w:p w:rsidR="006A713A" w:rsidRDefault="006A713A" w:rsidP="006A713A">
      <w:pPr>
        <w:numPr>
          <w:ilvl w:val="0"/>
          <w:numId w:val="8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6A713A" w:rsidRDefault="006A713A" w:rsidP="006A713A">
      <w:pPr>
        <w:numPr>
          <w:ilvl w:val="0"/>
          <w:numId w:val="8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6A713A" w:rsidRDefault="006A713A" w:rsidP="006A713A">
      <w:pPr>
        <w:numPr>
          <w:ilvl w:val="0"/>
          <w:numId w:val="8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отсутствует фактическое пользование этим объектом супругом;</w:t>
      </w:r>
    </w:p>
    <w:p w:rsidR="006A713A" w:rsidRDefault="006A713A" w:rsidP="006A713A">
      <w:pPr>
        <w:numPr>
          <w:ilvl w:val="0"/>
          <w:numId w:val="8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эти объекты указаны в подразделе 3.1 соответствующей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Аналогично в отношении несовершеннолетних детей.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6A713A" w:rsidRDefault="006A713A" w:rsidP="006A713A">
      <w:pPr>
        <w:numPr>
          <w:ilvl w:val="0"/>
          <w:numId w:val="8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A713A" w:rsidRDefault="006A713A" w:rsidP="006A713A">
      <w:pPr>
        <w:numPr>
          <w:ilvl w:val="0"/>
          <w:numId w:val="8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том числе указанию подлежат сведения о жилом помещении (дом, квартира, комната), нежилом помещении, земельном участке, гараже и т.д.:</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занимаемых по договору аренды (найма, поднайма);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занимаемых по договорам социального найма;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принадлежащих на праве пожизненного наследуемого владения земельным участком;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6A713A" w:rsidRDefault="006A713A" w:rsidP="006A713A">
      <w:pPr>
        <w:numPr>
          <w:ilvl w:val="0"/>
          <w:numId w:val="9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этом указывается общая площадь объекта недвижимого имущества, находящегося в пользовании.</w:t>
      </w:r>
    </w:p>
    <w:p w:rsidR="006A713A" w:rsidRDefault="006A713A" w:rsidP="006A713A">
      <w:pPr>
        <w:numPr>
          <w:ilvl w:val="0"/>
          <w:numId w:val="9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Сведения об объектах недвижимого имущества, находящихся в пользовании, указываются по состоянию на отчетную дату.</w:t>
      </w:r>
    </w:p>
    <w:p w:rsidR="006A713A" w:rsidRDefault="006A713A" w:rsidP="006A713A">
      <w:pPr>
        <w:numPr>
          <w:ilvl w:val="0"/>
          <w:numId w:val="9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"Вид имущества</w:t>
      </w:r>
      <w:r>
        <w:rPr>
          <w:rFonts w:ascii="PT-Astra-Sans-Regular" w:hAnsi="PT-Astra-Sans-Regular"/>
          <w:color w:val="252525"/>
          <w:sz w:val="19"/>
          <w:szCs w:val="19"/>
        </w:rPr>
        <w:t>" указывается вид недвижимого имущества (земельный участок, жилой дом, дача, квартира, комната и др.).</w:t>
      </w:r>
    </w:p>
    <w:p w:rsidR="006A713A" w:rsidRDefault="006A713A" w:rsidP="006A713A">
      <w:pPr>
        <w:numPr>
          <w:ilvl w:val="0"/>
          <w:numId w:val="9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Вид и сроки пользования</w:t>
      </w:r>
      <w:r>
        <w:rPr>
          <w:rFonts w:ascii="PT-Astra-Sans-Regular" w:hAnsi="PT-Astra-Sans-Regular"/>
          <w:color w:val="252525"/>
          <w:sz w:val="19"/>
          <w:szCs w:val="19"/>
        </w:rPr>
        <w:t>" указываются вид пользования (аренда, безвозмездное пользование и др.) и сроки пользования.</w:t>
      </w:r>
    </w:p>
    <w:p w:rsidR="006A713A" w:rsidRDefault="006A713A" w:rsidP="006A713A">
      <w:pPr>
        <w:numPr>
          <w:ilvl w:val="0"/>
          <w:numId w:val="9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Основание пользования</w:t>
      </w:r>
      <w:r>
        <w:rPr>
          <w:rFonts w:ascii="PT-Astra-Sans-Regular" w:hAnsi="PT-Astra-Sans-Regular"/>
          <w:color w:val="252525"/>
          <w:sz w:val="19"/>
          <w:szCs w:val="19"/>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A713A" w:rsidRDefault="006A713A" w:rsidP="006A713A">
      <w:pPr>
        <w:numPr>
          <w:ilvl w:val="0"/>
          <w:numId w:val="9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данном подразделе </w:t>
      </w:r>
      <w:r>
        <w:rPr>
          <w:rStyle w:val="a3"/>
          <w:rFonts w:ascii="PT-Astra-Sans-Regular" w:hAnsi="PT-Astra-Sans-Regular"/>
          <w:color w:val="252525"/>
          <w:sz w:val="19"/>
          <w:szCs w:val="19"/>
        </w:rPr>
        <w:t>не указывается</w:t>
      </w:r>
      <w:r>
        <w:rPr>
          <w:rFonts w:ascii="PT-Astra-Sans-Regular" w:hAnsi="PT-Astra-Sans-Regular"/>
          <w:color w:val="252525"/>
          <w:sz w:val="19"/>
          <w:szCs w:val="19"/>
        </w:rPr>
        <w:t> недвижимое имущество, которое находится в собственности и уже отражено в подразделе 3.1 справки.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6A713A" w:rsidRDefault="006A713A" w:rsidP="006A713A">
      <w:pPr>
        <w:numPr>
          <w:ilvl w:val="0"/>
          <w:numId w:val="9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этом данные доли собственности должны быть отражены в подразделе 3.1. справок служащего (работника) и его супруги (супруга).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Аналогично в отношении несовершеннолетних детей.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Подраздел 6.2. Срочные обязательства финансового характера</w:t>
      </w:r>
    </w:p>
    <w:p w:rsidR="006A713A" w:rsidRDefault="006A713A" w:rsidP="006A713A">
      <w:pPr>
        <w:numPr>
          <w:ilvl w:val="0"/>
          <w:numId w:val="9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данном подразделе указывается </w:t>
      </w:r>
      <w:r>
        <w:rPr>
          <w:rStyle w:val="a3"/>
          <w:rFonts w:ascii="PT-Astra-Sans-Regular" w:hAnsi="PT-Astra-Sans-Regular"/>
          <w:color w:val="252525"/>
          <w:sz w:val="19"/>
          <w:szCs w:val="19"/>
        </w:rPr>
        <w:t>каждое</w:t>
      </w:r>
      <w:r>
        <w:rPr>
          <w:rFonts w:ascii="PT-Astra-Sans-Regular" w:hAnsi="PT-Astra-Sans-Regular"/>
          <w:color w:val="252525"/>
          <w:sz w:val="19"/>
          <w:szCs w:val="19"/>
        </w:rPr>
        <w:t>имеющееся на отчетную дату срочное обязательство финансового характера на сумму, </w:t>
      </w:r>
      <w:r>
        <w:rPr>
          <w:rStyle w:val="a3"/>
          <w:rFonts w:ascii="PT-Astra-Sans-Regular" w:hAnsi="PT-Astra-Sans-Regular"/>
          <w:color w:val="252525"/>
          <w:sz w:val="19"/>
          <w:szCs w:val="19"/>
        </w:rPr>
        <w:t>равную или превышающую</w:t>
      </w:r>
      <w:r>
        <w:rPr>
          <w:rFonts w:ascii="PT-Astra-Sans-Regular" w:hAnsi="PT-Astra-Sans-Regular"/>
          <w:color w:val="252525"/>
          <w:sz w:val="19"/>
          <w:szCs w:val="19"/>
        </w:rPr>
        <w:t> 500 000 руб., кредитором или должником по которому является служащий (работник), его супруга (супруг), несовершеннолетний ребенок.</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6A713A" w:rsidRDefault="006A713A" w:rsidP="006A713A">
      <w:pPr>
        <w:numPr>
          <w:ilvl w:val="0"/>
          <w:numId w:val="9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Содержание обязательства</w:t>
      </w:r>
      <w:r>
        <w:rPr>
          <w:rFonts w:ascii="PT-Astra-Sans-Regular" w:hAnsi="PT-Astra-Sans-Regular"/>
          <w:color w:val="252525"/>
          <w:sz w:val="19"/>
          <w:szCs w:val="19"/>
        </w:rPr>
        <w:t>" указывается существо обязательства (заем, кредит и другие).</w:t>
      </w:r>
    </w:p>
    <w:p w:rsidR="006A713A" w:rsidRDefault="006A713A" w:rsidP="006A713A">
      <w:pPr>
        <w:numPr>
          <w:ilvl w:val="0"/>
          <w:numId w:val="9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Кредитор (должник)</w:t>
      </w:r>
      <w:r>
        <w:rPr>
          <w:rFonts w:ascii="PT-Astra-Sans-Regular" w:hAnsi="PT-Astra-Sans-Regular"/>
          <w:color w:val="252525"/>
          <w:sz w:val="19"/>
          <w:szCs w:val="19"/>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Например,</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Данный подраздел также подлежит заполнению в случае, если лицо, в отношении которого представляются сведения, является созаемщиком.</w:t>
      </w:r>
    </w:p>
    <w:p w:rsidR="006A713A" w:rsidRDefault="006A713A" w:rsidP="006A713A">
      <w:pPr>
        <w:numPr>
          <w:ilvl w:val="0"/>
          <w:numId w:val="9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Основание возникновения</w:t>
      </w:r>
      <w:r>
        <w:rPr>
          <w:rFonts w:ascii="PT-Astra-Sans-Regular" w:hAnsi="PT-Astra-Sans-Regular"/>
          <w:color w:val="252525"/>
          <w:sz w:val="19"/>
          <w:szCs w:val="19"/>
        </w:rPr>
        <w:t>" указываются основание возникновения обязательства, а также реквизиты (дата, номер) соответствующего договора или акта.</w:t>
      </w:r>
    </w:p>
    <w:p w:rsidR="006A713A" w:rsidRDefault="006A713A" w:rsidP="006A713A">
      <w:pPr>
        <w:numPr>
          <w:ilvl w:val="0"/>
          <w:numId w:val="9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w:t>
      </w:r>
      <w:r>
        <w:rPr>
          <w:rStyle w:val="a3"/>
          <w:rFonts w:ascii="PT-Astra-Sans-Regular" w:hAnsi="PT-Astra-Sans-Regular"/>
          <w:color w:val="252525"/>
          <w:sz w:val="19"/>
          <w:szCs w:val="19"/>
        </w:rPr>
        <w:t>Сумма обязательства / размер обязательства по состоянию на отчетную дату</w:t>
      </w:r>
      <w:r>
        <w:rPr>
          <w:rFonts w:ascii="PT-Astra-Sans-Regular" w:hAnsi="PT-Astra-Sans-Regular"/>
          <w:color w:val="252525"/>
          <w:sz w:val="19"/>
          <w:szCs w:val="19"/>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Pr>
            <w:rStyle w:val="a6"/>
            <w:rFonts w:ascii="PT-Astra-Sans-Regular" w:hAnsi="PT-Astra-Sans-Regular"/>
            <w:color w:val="0345BF"/>
            <w:sz w:val="19"/>
            <w:szCs w:val="19"/>
          </w:rPr>
          <w:t>https://www.cbr.ru/currency_base/daily/</w:t>
        </w:r>
      </w:hyperlink>
      <w:r>
        <w:rPr>
          <w:rFonts w:ascii="PT-Astra-Sans-Regular" w:hAnsi="PT-Astra-Sans-Regular"/>
          <w:color w:val="252525"/>
          <w:sz w:val="19"/>
          <w:szCs w:val="19"/>
        </w:rPr>
        <w:t>.</w:t>
      </w:r>
    </w:p>
    <w:p w:rsidR="006A713A" w:rsidRDefault="006A713A" w:rsidP="006A713A">
      <w:pPr>
        <w:numPr>
          <w:ilvl w:val="0"/>
          <w:numId w:val="9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6A713A" w:rsidRDefault="006A713A" w:rsidP="006A713A">
      <w:pPr>
        <w:numPr>
          <w:ilvl w:val="0"/>
          <w:numId w:val="9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В графе "</w:t>
      </w:r>
      <w:r>
        <w:rPr>
          <w:rStyle w:val="a3"/>
          <w:rFonts w:ascii="PT-Astra-Sans-Regular" w:hAnsi="PT-Astra-Sans-Regular"/>
          <w:color w:val="252525"/>
          <w:sz w:val="19"/>
          <w:szCs w:val="19"/>
        </w:rPr>
        <w:t>Условия обязательства</w:t>
      </w:r>
      <w:r>
        <w:rPr>
          <w:rFonts w:ascii="PT-Astra-Sans-Regular" w:hAnsi="PT-Astra-Sans-Regular"/>
          <w:color w:val="252525"/>
          <w:sz w:val="19"/>
          <w:szCs w:val="19"/>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6A713A" w:rsidRDefault="006A713A" w:rsidP="006A713A">
      <w:pPr>
        <w:numPr>
          <w:ilvl w:val="0"/>
          <w:numId w:val="9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Помимо прочего подлежат указанию:</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договор финансовой аренды (лизинг);</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договор займа;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договор финансирования под уступку денежного требования;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обязательства, связанные с заключением договора об уступке права требования;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обязательства вследствие причинения вреда (финансовые);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обязательства по уплате алиментов (если по состоянию на отчетную дату сумма невыплаченных алиментов равна или превышает 500 000 руб.);</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выкупленная дебиторская задолженность;</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являетсягосударственная корпорация "Агентство по страхованию вкладов";</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предоставленные брокером займы (т.н. "маржинальные сделки");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обязательства по незакрытым сделкам РЕПО и СВОП (у клиента имеются требования и обязательства по этим сделкам);</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иные обязательства, в том числе установленные решением суда.</w:t>
      </w:r>
    </w:p>
    <w:p w:rsidR="006A713A" w:rsidRDefault="006A713A" w:rsidP="006A713A">
      <w:pPr>
        <w:numPr>
          <w:ilvl w:val="0"/>
          <w:numId w:val="9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При этом в данном подразделе не указываются, например, договор срочного банковского вклада.</w:t>
      </w:r>
    </w:p>
    <w:p w:rsidR="006A713A" w:rsidRDefault="006A713A" w:rsidP="006A713A">
      <w:pPr>
        <w:numPr>
          <w:ilvl w:val="0"/>
          <w:numId w:val="96"/>
        </w:numPr>
        <w:shd w:val="clear" w:color="auto" w:fill="FFFFFF"/>
        <w:spacing w:before="100" w:beforeAutospacing="1" w:after="100" w:afterAutospacing="1" w:line="240" w:lineRule="auto"/>
        <w:jc w:val="both"/>
        <w:rPr>
          <w:rFonts w:ascii="PT-Astra-Sans-Regular" w:hAnsi="PT-Astra-Sans-Regular"/>
          <w:color w:val="252525"/>
          <w:sz w:val="19"/>
          <w:szCs w:val="19"/>
        </w:rPr>
      </w:pPr>
      <w:r>
        <w:rPr>
          <w:rStyle w:val="a3"/>
          <w:rFonts w:ascii="PT-Astra-Sans-Regular" w:hAnsi="PT-Astra-Sans-Regular"/>
          <w:color w:val="252525"/>
          <w:sz w:val="19"/>
          <w:szCs w:val="19"/>
        </w:rPr>
        <w:t>Отдельные виды срочных обязательств финансового характера</w:t>
      </w:r>
      <w:r>
        <w:rPr>
          <w:rFonts w:ascii="PT-Astra-Sans-Regular" w:hAnsi="PT-Astra-Sans-Regular"/>
          <w:color w:val="252525"/>
          <w:sz w:val="19"/>
          <w:szCs w:val="19"/>
        </w:rPr>
        <w:t>:</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1) участие в долевом строительстве объекта недвижимости.</w:t>
      </w:r>
      <w:r>
        <w:rPr>
          <w:rFonts w:ascii="PT-Astra-Sans-Regular" w:hAnsi="PT-Astra-Sans-Regular"/>
          <w:color w:val="252525"/>
          <w:sz w:val="19"/>
          <w:szCs w:val="19"/>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w:t>
      </w:r>
      <w:r>
        <w:rPr>
          <w:rFonts w:ascii="PT-Astra-Sans-Regular" w:hAnsi="PT-Astra-Sans-Regular"/>
          <w:color w:val="252525"/>
          <w:sz w:val="19"/>
          <w:szCs w:val="19"/>
        </w:rPr>
        <w:lastRenderedPageBreak/>
        <w:t>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2) обязательства по ипотеке в случае разделения суммы кредита между супругами.</w:t>
      </w:r>
      <w:r>
        <w:rPr>
          <w:rFonts w:ascii="PT-Astra-Sans-Regular" w:hAnsi="PT-Astra-Sans-Regular"/>
          <w:color w:val="252525"/>
          <w:sz w:val="19"/>
          <w:szCs w:val="19"/>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3) обязательства в соответствии с Законом Российской Федерации от 27 ноября 1992 г.№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Pr>
          <w:rFonts w:ascii="PT-Astra-Sans-Regular" w:hAnsi="PT-Astra-Sans-Regular"/>
          <w:color w:val="252525"/>
          <w:sz w:val="19"/>
          <w:szCs w:val="19"/>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5:"Сумма обязательства" указывается страховая сумма по договору. Иные графы не заполняются.</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PT-Astra-Sans-Regular" w:hAnsi="PT-Astra-Sans-Regular"/>
          <w:color w:val="252525"/>
          <w:sz w:val="19"/>
          <w:szCs w:val="19"/>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numPr>
          <w:ilvl w:val="0"/>
          <w:numId w:val="9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6A713A" w:rsidRDefault="006A713A" w:rsidP="006A713A">
      <w:pPr>
        <w:numPr>
          <w:ilvl w:val="0"/>
          <w:numId w:val="9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A713A" w:rsidRDefault="006A713A" w:rsidP="006A713A">
      <w:pPr>
        <w:numPr>
          <w:ilvl w:val="0"/>
          <w:numId w:val="9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A713A" w:rsidRDefault="006A713A" w:rsidP="006A713A">
      <w:pPr>
        <w:numPr>
          <w:ilvl w:val="0"/>
          <w:numId w:val="9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Уничтоженные объекты имущества не подлежат отражению в данном разделе справки.</w:t>
      </w:r>
    </w:p>
    <w:p w:rsidR="006A713A" w:rsidRDefault="006A713A" w:rsidP="006A713A">
      <w:pPr>
        <w:numPr>
          <w:ilvl w:val="0"/>
          <w:numId w:val="9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Договор мены не подлежит отражению в данном разделе справки, так как он является возмездным.</w:t>
      </w:r>
    </w:p>
    <w:p w:rsidR="006A713A" w:rsidRDefault="006A713A" w:rsidP="006A713A">
      <w:pPr>
        <w:numPr>
          <w:ilvl w:val="0"/>
          <w:numId w:val="9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Каждый объект безвозмездной сделки указывается отдельно.</w:t>
      </w:r>
    </w:p>
    <w:p w:rsidR="006A713A" w:rsidRDefault="006A713A" w:rsidP="006A713A">
      <w:pPr>
        <w:numPr>
          <w:ilvl w:val="0"/>
          <w:numId w:val="9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87настоящих Методических рекомендаций), местонахождение (адрес) в соответствии с пунктами 95-96настоящих Методических рекомендаций, площадь (кв. м) в соответствии с пунктом 97настоящих Методических рекомендаций.</w:t>
      </w:r>
    </w:p>
    <w:p w:rsidR="006A713A" w:rsidRDefault="006A713A" w:rsidP="006A713A">
      <w:pPr>
        <w:numPr>
          <w:ilvl w:val="0"/>
          <w:numId w:val="9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строке "Транспортные средства" рекомендуется указывать вид, марку, модель транспортного средства, год изготовления, место регистрации.</w:t>
      </w:r>
    </w:p>
    <w:p w:rsidR="006A713A" w:rsidRDefault="006A713A" w:rsidP="006A713A">
      <w:pPr>
        <w:numPr>
          <w:ilvl w:val="0"/>
          <w:numId w:val="98"/>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Для долей участия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135настоящих Методических рекомендаций, местонахождение организации (адрес), уставный капитал в соответствии с пунктом 136настоящих Методических рекомендаций, доли участия в соответствии с пунктом 137настоящих Методических рекомендаций.</w:t>
      </w:r>
    </w:p>
    <w:p w:rsidR="006A713A" w:rsidRDefault="006A713A" w:rsidP="006A713A">
      <w:pPr>
        <w:numPr>
          <w:ilvl w:val="0"/>
          <w:numId w:val="99"/>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"Приобретатель имущества по сделке" в случае безвозмездной сделки с физическим лицом указываются 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6A713A" w:rsidRDefault="006A713A" w:rsidP="006A713A">
      <w:pPr>
        <w:numPr>
          <w:ilvl w:val="0"/>
          <w:numId w:val="100"/>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"Основание отчуждения имущества"указываются основания прекращения права собственности (наименование и реквизиты (дата, номер) соответствующего договора или акта).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 </w:t>
      </w:r>
    </w:p>
    <w:p w:rsidR="006A713A" w:rsidRDefault="006A713A" w:rsidP="006A713A">
      <w:pPr>
        <w:numPr>
          <w:ilvl w:val="0"/>
          <w:numId w:val="10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lastRenderedPageBreak/>
        <w:t>В соответствии с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6A713A" w:rsidRDefault="006A713A" w:rsidP="006A713A">
      <w:pPr>
        <w:numPr>
          <w:ilvl w:val="1"/>
          <w:numId w:val="10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6A713A" w:rsidRDefault="006A713A" w:rsidP="006A713A">
      <w:pPr>
        <w:numPr>
          <w:ilvl w:val="1"/>
          <w:numId w:val="10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6A713A" w:rsidRDefault="006A713A" w:rsidP="006A713A">
      <w:pPr>
        <w:numPr>
          <w:ilvl w:val="1"/>
          <w:numId w:val="10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иные лица в соответствии с применимыми нормативными правовыми актами Российской Федерации.</w:t>
      </w:r>
    </w:p>
    <w:p w:rsidR="006A713A" w:rsidRDefault="006A713A" w:rsidP="006A713A">
      <w:pPr>
        <w:numPr>
          <w:ilvl w:val="0"/>
          <w:numId w:val="10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Форма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6A713A" w:rsidRDefault="006A713A" w:rsidP="006A713A">
      <w:pPr>
        <w:numPr>
          <w:ilvl w:val="0"/>
          <w:numId w:val="10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6A713A" w:rsidRDefault="006A713A" w:rsidP="006A713A">
      <w:pPr>
        <w:numPr>
          <w:ilvl w:val="0"/>
          <w:numId w:val="10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Уведомлениеприкладывается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6A713A" w:rsidRDefault="006A713A" w:rsidP="006A713A">
      <w:pPr>
        <w:numPr>
          <w:ilvl w:val="0"/>
          <w:numId w:val="101"/>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"Цифровые финансовые активы, цифровые права, включающие одновременно цифровые финансовые активы и иные цифровые права" формы уведомления</w:t>
      </w:r>
    </w:p>
    <w:p w:rsidR="006A713A" w:rsidRDefault="006A713A" w:rsidP="006A713A">
      <w:pPr>
        <w:numPr>
          <w:ilvl w:val="0"/>
          <w:numId w:val="102"/>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К иным цифровым правам могут быть отнесены утилитарные цифровые права.</w:t>
      </w:r>
    </w:p>
    <w:p w:rsidR="006A713A" w:rsidRDefault="006A713A" w:rsidP="006A713A">
      <w:pPr>
        <w:numPr>
          <w:ilvl w:val="0"/>
          <w:numId w:val="10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"Наименование цифрового финансового актива или цифрового права"указываются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A713A" w:rsidRDefault="006A713A" w:rsidP="006A713A">
      <w:pPr>
        <w:numPr>
          <w:ilvl w:val="0"/>
          <w:numId w:val="103"/>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lastRenderedPageBreak/>
        <w:t>Раздел "Утилитарные цифровые права" формы уведомления</w:t>
      </w:r>
    </w:p>
    <w:p w:rsidR="006A713A" w:rsidRDefault="006A713A" w:rsidP="006A713A">
      <w:pPr>
        <w:numPr>
          <w:ilvl w:val="0"/>
          <w:numId w:val="104"/>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право требовать передачи вещи (вещей);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право требовать выполнения работ и (или) оказания услуг.</w:t>
      </w:r>
    </w:p>
    <w:p w:rsidR="006A713A" w:rsidRDefault="006A713A" w:rsidP="006A713A">
      <w:pPr>
        <w:numPr>
          <w:ilvl w:val="0"/>
          <w:numId w:val="10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"Уникальное условное обозначение" указывается уникальное условное обозначение, идентифицирующее утилитарное цифровое право.</w:t>
      </w:r>
    </w:p>
    <w:p w:rsidR="006A713A" w:rsidRDefault="006A713A" w:rsidP="006A713A">
      <w:pPr>
        <w:numPr>
          <w:ilvl w:val="0"/>
          <w:numId w:val="105"/>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"Объем инвестиций (руб.)"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6A713A" w:rsidRDefault="006A713A" w:rsidP="006A713A">
      <w:pPr>
        <w:numPr>
          <w:ilvl w:val="0"/>
          <w:numId w:val="106"/>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Реестр операторов инвестиционных платформ размещен на официальном сайте Банка России по ссылке: </w:t>
      </w:r>
      <w:hyperlink r:id="rId25" w:history="1">
        <w:r>
          <w:rPr>
            <w:rStyle w:val="a6"/>
            <w:rFonts w:ascii="PT-Astra-Sans-Regular" w:hAnsi="PT-Astra-Sans-Regular"/>
            <w:color w:val="0345BF"/>
            <w:sz w:val="19"/>
            <w:szCs w:val="19"/>
          </w:rPr>
          <w:t>http://www.cbr.ru/finm_infrastructure/oper/</w:t>
        </w:r>
      </w:hyperlink>
      <w:r>
        <w:rPr>
          <w:rFonts w:ascii="PT-Astra-Sans-Regular" w:hAnsi="PT-Astra-Sans-Regular"/>
          <w:color w:val="252525"/>
          <w:sz w:val="19"/>
          <w:szCs w:val="19"/>
        </w:rPr>
        <w:t>.</w:t>
      </w:r>
    </w:p>
    <w:p w:rsidR="006A713A" w:rsidRDefault="006A713A" w:rsidP="006A713A">
      <w:pPr>
        <w:pStyle w:val="a5"/>
        <w:shd w:val="clear" w:color="auto" w:fill="FFFFFF"/>
        <w:spacing w:before="0" w:beforeAutospacing="0"/>
        <w:jc w:val="both"/>
        <w:rPr>
          <w:rFonts w:ascii="PT-Astra-Sans-Regular" w:hAnsi="PT-Astra-Sans-Regular"/>
          <w:color w:val="252525"/>
          <w:sz w:val="19"/>
          <w:szCs w:val="19"/>
        </w:rPr>
      </w:pPr>
      <w:r>
        <w:rPr>
          <w:rStyle w:val="a3"/>
          <w:rFonts w:ascii="PT-Astra-Sans-Regular" w:hAnsi="PT-Astra-Sans-Regular"/>
          <w:color w:val="252525"/>
          <w:sz w:val="19"/>
          <w:szCs w:val="19"/>
        </w:rPr>
        <w:t>Раздел "Цифровая валюта" формы уведомления</w:t>
      </w:r>
    </w:p>
    <w:p w:rsidR="006A713A" w:rsidRDefault="006A713A" w:rsidP="006A713A">
      <w:pPr>
        <w:numPr>
          <w:ilvl w:val="0"/>
          <w:numId w:val="107"/>
        </w:numPr>
        <w:shd w:val="clear" w:color="auto" w:fill="FFFFFF"/>
        <w:spacing w:before="100" w:beforeAutospacing="1" w:after="100" w:afterAutospacing="1" w:line="240" w:lineRule="auto"/>
        <w:jc w:val="both"/>
        <w:rPr>
          <w:rFonts w:ascii="PT-Astra-Sans-Regular" w:hAnsi="PT-Astra-Sans-Regular"/>
          <w:color w:val="252525"/>
          <w:sz w:val="19"/>
          <w:szCs w:val="19"/>
        </w:rPr>
      </w:pPr>
      <w:r>
        <w:rPr>
          <w:rFonts w:ascii="PT-Astra-Sans-Regular" w:hAnsi="PT-Astra-Sans-Regular"/>
          <w:color w:val="252525"/>
          <w:sz w:val="19"/>
          <w:szCs w:val="19"/>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6A713A" w:rsidRDefault="006A713A" w:rsidP="006A713A">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Лицам, указанным в пунктах 1 и 2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Pr>
          <w:rStyle w:val="a3"/>
          <w:rFonts w:ascii="PT-Astra-Sans-Regular" w:hAnsi="PT-Astra-Sans-Regular"/>
          <w:color w:val="252525"/>
          <w:sz w:val="19"/>
          <w:szCs w:val="19"/>
        </w:rPr>
        <w:t>с </w:t>
      </w:r>
      <w:r>
        <w:rPr>
          <w:rStyle w:val="a3"/>
          <w:rFonts w:ascii="PT-Astra-Sans-Regular" w:hAnsi="PT-Astra-Sans-Regular"/>
          <w:color w:val="252525"/>
          <w:sz w:val="19"/>
          <w:szCs w:val="19"/>
          <w:u w:val="single"/>
        </w:rPr>
        <w:t>1 января 2021 г.</w:t>
      </w:r>
      <w:r>
        <w:rPr>
          <w:rStyle w:val="a3"/>
          <w:rFonts w:ascii="PT-Astra-Sans-Regular" w:hAnsi="PT-Astra-Sans-Regular"/>
          <w:color w:val="252525"/>
          <w:sz w:val="19"/>
          <w:szCs w:val="19"/>
        </w:rPr>
        <w:t> запрещено владеть</w:t>
      </w:r>
      <w:r>
        <w:rPr>
          <w:rFonts w:ascii="PT-Astra-Sans-Regular" w:hAnsi="PT-Astra-Sans-Regular"/>
          <w:color w:val="252525"/>
          <w:sz w:val="19"/>
          <w:szCs w:val="19"/>
        </w:rPr>
        <w:t> и (или) </w:t>
      </w:r>
      <w:r>
        <w:rPr>
          <w:rStyle w:val="a3"/>
          <w:rFonts w:ascii="PT-Astra-Sans-Regular" w:hAnsi="PT-Astra-Sans-Regular"/>
          <w:color w:val="252525"/>
          <w:sz w:val="19"/>
          <w:szCs w:val="19"/>
        </w:rPr>
        <w:t>пользоваться цифровыми финансовыми активами</w:t>
      </w:r>
      <w:r>
        <w:rPr>
          <w:rFonts w:ascii="PT-Astra-Sans-Regular" w:hAnsi="PT-Astra-Sans-Regular"/>
          <w:color w:val="252525"/>
          <w:sz w:val="19"/>
          <w:szCs w:val="19"/>
        </w:rPr>
        <w:t>, выпущенными в информационных системах, организационных в соответствии с иностранным правом, </w:t>
      </w:r>
      <w:r>
        <w:rPr>
          <w:rStyle w:val="a3"/>
          <w:rFonts w:ascii="PT-Astra-Sans-Regular" w:hAnsi="PT-Astra-Sans-Regular"/>
          <w:color w:val="252525"/>
          <w:sz w:val="19"/>
          <w:szCs w:val="19"/>
        </w:rPr>
        <w:t>а также цифровой валютой</w:t>
      </w:r>
      <w:r>
        <w:rPr>
          <w:rFonts w:ascii="PT-Astra-Sans-Regular" w:hAnsi="PT-Astra-Sans-Regular"/>
          <w:color w:val="252525"/>
          <w:sz w:val="19"/>
          <w:szCs w:val="19"/>
        </w:rPr>
        <w:t>.</w:t>
      </w:r>
    </w:p>
    <w:p w:rsidR="006A713A" w:rsidRDefault="006A713A" w:rsidP="006A713A">
      <w:pPr>
        <w:numPr>
          <w:ilvl w:val="0"/>
          <w:numId w:val="108"/>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6A713A" w:rsidRDefault="006A713A" w:rsidP="006A713A">
      <w:pPr>
        <w:numPr>
          <w:ilvl w:val="0"/>
          <w:numId w:val="108"/>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 графе "Общее количество" указывается точное количество цифровой валюты, находящейся в собственности (без округления).</w:t>
      </w:r>
    </w:p>
    <w:p w:rsidR="00560C54" w:rsidRPr="006A713A" w:rsidRDefault="00560C54" w:rsidP="006A713A">
      <w:pPr>
        <w:rPr>
          <w:szCs w:val="19"/>
        </w:rPr>
      </w:pPr>
    </w:p>
    <w:sectPr w:rsidR="00560C54" w:rsidRPr="006A713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64C"/>
    <w:multiLevelType w:val="multilevel"/>
    <w:tmpl w:val="DFE4F17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2C5947"/>
    <w:multiLevelType w:val="multilevel"/>
    <w:tmpl w:val="62AE3338"/>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375355"/>
    <w:multiLevelType w:val="multilevel"/>
    <w:tmpl w:val="73448678"/>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441A9"/>
    <w:multiLevelType w:val="multilevel"/>
    <w:tmpl w:val="49E2EC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4503E"/>
    <w:multiLevelType w:val="multilevel"/>
    <w:tmpl w:val="2D9644C4"/>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115BF"/>
    <w:multiLevelType w:val="multilevel"/>
    <w:tmpl w:val="E0AEF752"/>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91B6B"/>
    <w:multiLevelType w:val="multilevel"/>
    <w:tmpl w:val="0888821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AC6B63"/>
    <w:multiLevelType w:val="multilevel"/>
    <w:tmpl w:val="F6CEFFF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4845F7"/>
    <w:multiLevelType w:val="multilevel"/>
    <w:tmpl w:val="8FBA69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680F34"/>
    <w:multiLevelType w:val="multilevel"/>
    <w:tmpl w:val="FFC01F4C"/>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A4015"/>
    <w:multiLevelType w:val="multilevel"/>
    <w:tmpl w:val="624EB288"/>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CE43F3"/>
    <w:multiLevelType w:val="multilevel"/>
    <w:tmpl w:val="066A85F6"/>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3475DE"/>
    <w:multiLevelType w:val="multilevel"/>
    <w:tmpl w:val="194E2EA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4A5310"/>
    <w:multiLevelType w:val="multilevel"/>
    <w:tmpl w:val="B0C60FB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8290353"/>
    <w:multiLevelType w:val="multilevel"/>
    <w:tmpl w:val="8C3683B8"/>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AA77CA"/>
    <w:multiLevelType w:val="multilevel"/>
    <w:tmpl w:val="A4189502"/>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9EA6ED4"/>
    <w:multiLevelType w:val="multilevel"/>
    <w:tmpl w:val="0E52B5D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C17EE1"/>
    <w:multiLevelType w:val="multilevel"/>
    <w:tmpl w:val="B5C253A0"/>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BC0DBD"/>
    <w:multiLevelType w:val="multilevel"/>
    <w:tmpl w:val="5706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536FAC"/>
    <w:multiLevelType w:val="multilevel"/>
    <w:tmpl w:val="DE6669D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F242ED"/>
    <w:multiLevelType w:val="multilevel"/>
    <w:tmpl w:val="9694445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2A7068B"/>
    <w:multiLevelType w:val="multilevel"/>
    <w:tmpl w:val="4A46B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260F60"/>
    <w:multiLevelType w:val="multilevel"/>
    <w:tmpl w:val="3606CE2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A93B10"/>
    <w:multiLevelType w:val="multilevel"/>
    <w:tmpl w:val="1AF815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FC013D"/>
    <w:multiLevelType w:val="multilevel"/>
    <w:tmpl w:val="5FA84BC2"/>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3E0383"/>
    <w:multiLevelType w:val="multilevel"/>
    <w:tmpl w:val="E1D8C0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C22C96"/>
    <w:multiLevelType w:val="multilevel"/>
    <w:tmpl w:val="547C93C2"/>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66239F7"/>
    <w:multiLevelType w:val="multilevel"/>
    <w:tmpl w:val="D73485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9672B9"/>
    <w:multiLevelType w:val="multilevel"/>
    <w:tmpl w:val="FE8CDE2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7C3286B"/>
    <w:multiLevelType w:val="multilevel"/>
    <w:tmpl w:val="ABB26EB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89C18E6"/>
    <w:multiLevelType w:val="multilevel"/>
    <w:tmpl w:val="AD76069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583A61"/>
    <w:multiLevelType w:val="multilevel"/>
    <w:tmpl w:val="A73C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B603BBF"/>
    <w:multiLevelType w:val="multilevel"/>
    <w:tmpl w:val="BCFE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7B3CFC"/>
    <w:multiLevelType w:val="multilevel"/>
    <w:tmpl w:val="7B0AA428"/>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F51466"/>
    <w:multiLevelType w:val="multilevel"/>
    <w:tmpl w:val="772EB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D3C1647"/>
    <w:multiLevelType w:val="multilevel"/>
    <w:tmpl w:val="9D84680C"/>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DB7004E"/>
    <w:multiLevelType w:val="multilevel"/>
    <w:tmpl w:val="BAE8F06C"/>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EE191A"/>
    <w:multiLevelType w:val="multilevel"/>
    <w:tmpl w:val="3C48ED94"/>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2C4C3F"/>
    <w:multiLevelType w:val="multilevel"/>
    <w:tmpl w:val="B0BE16A8"/>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2006FF5"/>
    <w:multiLevelType w:val="multilevel"/>
    <w:tmpl w:val="A6DCC46C"/>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2B16D16"/>
    <w:multiLevelType w:val="multilevel"/>
    <w:tmpl w:val="65DE6A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5B117FB"/>
    <w:multiLevelType w:val="multilevel"/>
    <w:tmpl w:val="6DA49826"/>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6065377"/>
    <w:multiLevelType w:val="multilevel"/>
    <w:tmpl w:val="75A0117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85F5809"/>
    <w:multiLevelType w:val="multilevel"/>
    <w:tmpl w:val="3D9C10A2"/>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07453F"/>
    <w:multiLevelType w:val="multilevel"/>
    <w:tmpl w:val="64D2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BAD0981"/>
    <w:multiLevelType w:val="multilevel"/>
    <w:tmpl w:val="9F843350"/>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BAD0C90"/>
    <w:multiLevelType w:val="multilevel"/>
    <w:tmpl w:val="304899E8"/>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C181C51"/>
    <w:multiLevelType w:val="multilevel"/>
    <w:tmpl w:val="043A92D6"/>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68324D"/>
    <w:multiLevelType w:val="multilevel"/>
    <w:tmpl w:val="C8C6FB6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E0E5F54"/>
    <w:multiLevelType w:val="multilevel"/>
    <w:tmpl w:val="C2B2DB1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F7100D7"/>
    <w:multiLevelType w:val="multilevel"/>
    <w:tmpl w:val="E2A0A47E"/>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0A409BF"/>
    <w:multiLevelType w:val="multilevel"/>
    <w:tmpl w:val="34586120"/>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1BE546D"/>
    <w:multiLevelType w:val="multilevel"/>
    <w:tmpl w:val="35648806"/>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2546086"/>
    <w:multiLevelType w:val="multilevel"/>
    <w:tmpl w:val="872E52C6"/>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53A0830"/>
    <w:multiLevelType w:val="multilevel"/>
    <w:tmpl w:val="82241458"/>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CC53B4"/>
    <w:multiLevelType w:val="multilevel"/>
    <w:tmpl w:val="EF4E19A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69D3537"/>
    <w:multiLevelType w:val="multilevel"/>
    <w:tmpl w:val="866A03F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9102B39"/>
    <w:multiLevelType w:val="multilevel"/>
    <w:tmpl w:val="B130052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B6244F1"/>
    <w:multiLevelType w:val="multilevel"/>
    <w:tmpl w:val="2534BE6A"/>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BB4754A"/>
    <w:multiLevelType w:val="multilevel"/>
    <w:tmpl w:val="E470471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C9B1F17"/>
    <w:multiLevelType w:val="multilevel"/>
    <w:tmpl w:val="E726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0B57DD"/>
    <w:multiLevelType w:val="multilevel"/>
    <w:tmpl w:val="033EB878"/>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D4D4DF8"/>
    <w:multiLevelType w:val="multilevel"/>
    <w:tmpl w:val="C25270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DBE49B0"/>
    <w:multiLevelType w:val="multilevel"/>
    <w:tmpl w:val="3BC0C11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E363989"/>
    <w:multiLevelType w:val="multilevel"/>
    <w:tmpl w:val="1D8CEE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F08199C"/>
    <w:multiLevelType w:val="multilevel"/>
    <w:tmpl w:val="651AEFC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F2B6E41"/>
    <w:multiLevelType w:val="multilevel"/>
    <w:tmpl w:val="195E7A7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F8E5398"/>
    <w:multiLevelType w:val="multilevel"/>
    <w:tmpl w:val="4C6A0EB0"/>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0725B64"/>
    <w:multiLevelType w:val="multilevel"/>
    <w:tmpl w:val="918646D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16F5BA5"/>
    <w:multiLevelType w:val="multilevel"/>
    <w:tmpl w:val="1B481328"/>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3A41318"/>
    <w:multiLevelType w:val="multilevel"/>
    <w:tmpl w:val="68DAED58"/>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45473A1"/>
    <w:multiLevelType w:val="multilevel"/>
    <w:tmpl w:val="9294C93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4754DC1"/>
    <w:multiLevelType w:val="multilevel"/>
    <w:tmpl w:val="621E9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513126F"/>
    <w:multiLevelType w:val="multilevel"/>
    <w:tmpl w:val="9D601C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53056C7"/>
    <w:multiLevelType w:val="multilevel"/>
    <w:tmpl w:val="ADCAAB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782011"/>
    <w:multiLevelType w:val="multilevel"/>
    <w:tmpl w:val="E534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A11148C"/>
    <w:multiLevelType w:val="multilevel"/>
    <w:tmpl w:val="C0E6CBEA"/>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CAB4CDD"/>
    <w:multiLevelType w:val="multilevel"/>
    <w:tmpl w:val="F8E636C0"/>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CD51523"/>
    <w:multiLevelType w:val="multilevel"/>
    <w:tmpl w:val="033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D303DA9"/>
    <w:multiLevelType w:val="multilevel"/>
    <w:tmpl w:val="5650A806"/>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ED6010D"/>
    <w:multiLevelType w:val="multilevel"/>
    <w:tmpl w:val="FB40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F767988"/>
    <w:multiLevelType w:val="multilevel"/>
    <w:tmpl w:val="6AA482B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16C3EF0"/>
    <w:multiLevelType w:val="multilevel"/>
    <w:tmpl w:val="997223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2AA52CF"/>
    <w:multiLevelType w:val="multilevel"/>
    <w:tmpl w:val="15E40B1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4177F6F"/>
    <w:multiLevelType w:val="multilevel"/>
    <w:tmpl w:val="0E1A7FE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43D3661"/>
    <w:multiLevelType w:val="multilevel"/>
    <w:tmpl w:val="EC00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4BC4BD0"/>
    <w:multiLevelType w:val="multilevel"/>
    <w:tmpl w:val="80F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53B535F"/>
    <w:multiLevelType w:val="multilevel"/>
    <w:tmpl w:val="3230B37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5DE2F57"/>
    <w:multiLevelType w:val="multilevel"/>
    <w:tmpl w:val="9EF822E8"/>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7905E25"/>
    <w:multiLevelType w:val="multilevel"/>
    <w:tmpl w:val="DBC0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9133AE7"/>
    <w:multiLevelType w:val="multilevel"/>
    <w:tmpl w:val="E686594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BF270D0"/>
    <w:multiLevelType w:val="multilevel"/>
    <w:tmpl w:val="4294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CD215DF"/>
    <w:multiLevelType w:val="multilevel"/>
    <w:tmpl w:val="898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F100737"/>
    <w:multiLevelType w:val="multilevel"/>
    <w:tmpl w:val="F16453F8"/>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2393FCD"/>
    <w:multiLevelType w:val="multilevel"/>
    <w:tmpl w:val="98569DE0"/>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2834DD7"/>
    <w:multiLevelType w:val="multilevel"/>
    <w:tmpl w:val="D244296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C76335"/>
    <w:multiLevelType w:val="multilevel"/>
    <w:tmpl w:val="595203D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13548C"/>
    <w:multiLevelType w:val="multilevel"/>
    <w:tmpl w:val="B072BBA4"/>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49D06E0"/>
    <w:multiLevelType w:val="multilevel"/>
    <w:tmpl w:val="01EE48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52857E2"/>
    <w:multiLevelType w:val="multilevel"/>
    <w:tmpl w:val="6EF04816"/>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54C4443"/>
    <w:multiLevelType w:val="multilevel"/>
    <w:tmpl w:val="1B7A9690"/>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66C53A5"/>
    <w:multiLevelType w:val="multilevel"/>
    <w:tmpl w:val="56683EE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FA2096"/>
    <w:multiLevelType w:val="multilevel"/>
    <w:tmpl w:val="8A02199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BDC6F4C"/>
    <w:multiLevelType w:val="multilevel"/>
    <w:tmpl w:val="26922D04"/>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DB26B3E"/>
    <w:multiLevelType w:val="multilevel"/>
    <w:tmpl w:val="FE10569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DC13BAA"/>
    <w:multiLevelType w:val="multilevel"/>
    <w:tmpl w:val="70A00D5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D05996"/>
    <w:multiLevelType w:val="multilevel"/>
    <w:tmpl w:val="113ED900"/>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DDF3A98"/>
    <w:multiLevelType w:val="multilevel"/>
    <w:tmpl w:val="22BAAF9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8"/>
  </w:num>
  <w:num w:numId="3">
    <w:abstractNumId w:val="60"/>
  </w:num>
  <w:num w:numId="4">
    <w:abstractNumId w:val="72"/>
  </w:num>
  <w:num w:numId="5">
    <w:abstractNumId w:val="92"/>
  </w:num>
  <w:num w:numId="6">
    <w:abstractNumId w:val="21"/>
  </w:num>
  <w:num w:numId="7">
    <w:abstractNumId w:val="34"/>
  </w:num>
  <w:num w:numId="8">
    <w:abstractNumId w:val="82"/>
  </w:num>
  <w:num w:numId="9">
    <w:abstractNumId w:val="62"/>
  </w:num>
  <w:num w:numId="10">
    <w:abstractNumId w:val="75"/>
  </w:num>
  <w:num w:numId="11">
    <w:abstractNumId w:val="27"/>
  </w:num>
  <w:num w:numId="12">
    <w:abstractNumId w:val="98"/>
  </w:num>
  <w:num w:numId="13">
    <w:abstractNumId w:val="40"/>
  </w:num>
  <w:num w:numId="14">
    <w:abstractNumId w:val="89"/>
  </w:num>
  <w:num w:numId="15">
    <w:abstractNumId w:val="78"/>
  </w:num>
  <w:num w:numId="16">
    <w:abstractNumId w:val="37"/>
  </w:num>
  <w:num w:numId="17">
    <w:abstractNumId w:val="85"/>
  </w:num>
  <w:num w:numId="18">
    <w:abstractNumId w:val="3"/>
  </w:num>
  <w:num w:numId="19">
    <w:abstractNumId w:val="23"/>
  </w:num>
  <w:num w:numId="20">
    <w:abstractNumId w:val="73"/>
  </w:num>
  <w:num w:numId="21">
    <w:abstractNumId w:val="8"/>
  </w:num>
  <w:num w:numId="22">
    <w:abstractNumId w:val="64"/>
  </w:num>
  <w:num w:numId="23">
    <w:abstractNumId w:val="25"/>
  </w:num>
  <w:num w:numId="24">
    <w:abstractNumId w:val="20"/>
  </w:num>
  <w:num w:numId="25">
    <w:abstractNumId w:val="71"/>
  </w:num>
  <w:num w:numId="26">
    <w:abstractNumId w:val="83"/>
  </w:num>
  <w:num w:numId="27">
    <w:abstractNumId w:val="74"/>
  </w:num>
  <w:num w:numId="28">
    <w:abstractNumId w:val="80"/>
  </w:num>
  <w:num w:numId="29">
    <w:abstractNumId w:val="107"/>
  </w:num>
  <w:num w:numId="30">
    <w:abstractNumId w:val="28"/>
  </w:num>
  <w:num w:numId="31">
    <w:abstractNumId w:val="16"/>
  </w:num>
  <w:num w:numId="32">
    <w:abstractNumId w:val="81"/>
  </w:num>
  <w:num w:numId="33">
    <w:abstractNumId w:val="7"/>
  </w:num>
  <w:num w:numId="34">
    <w:abstractNumId w:val="66"/>
  </w:num>
  <w:num w:numId="35">
    <w:abstractNumId w:val="68"/>
  </w:num>
  <w:num w:numId="36">
    <w:abstractNumId w:val="102"/>
  </w:num>
  <w:num w:numId="37">
    <w:abstractNumId w:val="95"/>
  </w:num>
  <w:num w:numId="38">
    <w:abstractNumId w:val="84"/>
  </w:num>
  <w:num w:numId="39">
    <w:abstractNumId w:val="19"/>
  </w:num>
  <w:num w:numId="40">
    <w:abstractNumId w:val="63"/>
  </w:num>
  <w:num w:numId="41">
    <w:abstractNumId w:val="6"/>
  </w:num>
  <w:num w:numId="42">
    <w:abstractNumId w:val="0"/>
  </w:num>
  <w:num w:numId="43">
    <w:abstractNumId w:val="86"/>
  </w:num>
  <w:num w:numId="44">
    <w:abstractNumId w:val="44"/>
  </w:num>
  <w:num w:numId="45">
    <w:abstractNumId w:val="32"/>
  </w:num>
  <w:num w:numId="46">
    <w:abstractNumId w:val="14"/>
  </w:num>
  <w:num w:numId="47">
    <w:abstractNumId w:val="56"/>
  </w:num>
  <w:num w:numId="48">
    <w:abstractNumId w:val="55"/>
  </w:num>
  <w:num w:numId="49">
    <w:abstractNumId w:val="65"/>
  </w:num>
  <w:num w:numId="50">
    <w:abstractNumId w:val="59"/>
  </w:num>
  <w:num w:numId="51">
    <w:abstractNumId w:val="104"/>
  </w:num>
  <w:num w:numId="52">
    <w:abstractNumId w:val="12"/>
  </w:num>
  <w:num w:numId="53">
    <w:abstractNumId w:val="87"/>
  </w:num>
  <w:num w:numId="54">
    <w:abstractNumId w:val="22"/>
  </w:num>
  <w:num w:numId="55">
    <w:abstractNumId w:val="45"/>
  </w:num>
  <w:num w:numId="56">
    <w:abstractNumId w:val="99"/>
  </w:num>
  <w:num w:numId="57">
    <w:abstractNumId w:val="105"/>
  </w:num>
  <w:num w:numId="58">
    <w:abstractNumId w:val="41"/>
  </w:num>
  <w:num w:numId="59">
    <w:abstractNumId w:val="61"/>
  </w:num>
  <w:num w:numId="60">
    <w:abstractNumId w:val="29"/>
  </w:num>
  <w:num w:numId="61">
    <w:abstractNumId w:val="13"/>
  </w:num>
  <w:num w:numId="62">
    <w:abstractNumId w:val="57"/>
  </w:num>
  <w:num w:numId="63">
    <w:abstractNumId w:val="5"/>
  </w:num>
  <w:num w:numId="64">
    <w:abstractNumId w:val="58"/>
  </w:num>
  <w:num w:numId="65">
    <w:abstractNumId w:val="51"/>
  </w:num>
  <w:num w:numId="66">
    <w:abstractNumId w:val="48"/>
  </w:num>
  <w:num w:numId="67">
    <w:abstractNumId w:val="90"/>
  </w:num>
  <w:num w:numId="68">
    <w:abstractNumId w:val="50"/>
  </w:num>
  <w:num w:numId="69">
    <w:abstractNumId w:val="4"/>
  </w:num>
  <w:num w:numId="70">
    <w:abstractNumId w:val="69"/>
  </w:num>
  <w:num w:numId="71">
    <w:abstractNumId w:val="33"/>
  </w:num>
  <w:num w:numId="72">
    <w:abstractNumId w:val="10"/>
  </w:num>
  <w:num w:numId="73">
    <w:abstractNumId w:val="52"/>
  </w:num>
  <w:num w:numId="74">
    <w:abstractNumId w:val="79"/>
  </w:num>
  <w:num w:numId="75">
    <w:abstractNumId w:val="53"/>
  </w:num>
  <w:num w:numId="76">
    <w:abstractNumId w:val="106"/>
  </w:num>
  <w:num w:numId="77">
    <w:abstractNumId w:val="49"/>
  </w:num>
  <w:num w:numId="78">
    <w:abstractNumId w:val="30"/>
  </w:num>
  <w:num w:numId="79">
    <w:abstractNumId w:val="35"/>
  </w:num>
  <w:num w:numId="80">
    <w:abstractNumId w:val="11"/>
  </w:num>
  <w:num w:numId="81">
    <w:abstractNumId w:val="77"/>
  </w:num>
  <w:num w:numId="82">
    <w:abstractNumId w:val="100"/>
  </w:num>
  <w:num w:numId="83">
    <w:abstractNumId w:val="76"/>
  </w:num>
  <w:num w:numId="84">
    <w:abstractNumId w:val="38"/>
  </w:num>
  <w:num w:numId="85">
    <w:abstractNumId w:val="67"/>
  </w:num>
  <w:num w:numId="86">
    <w:abstractNumId w:val="88"/>
  </w:num>
  <w:num w:numId="87">
    <w:abstractNumId w:val="46"/>
  </w:num>
  <w:num w:numId="88">
    <w:abstractNumId w:val="91"/>
  </w:num>
  <w:num w:numId="89">
    <w:abstractNumId w:val="101"/>
  </w:num>
  <w:num w:numId="90">
    <w:abstractNumId w:val="24"/>
  </w:num>
  <w:num w:numId="91">
    <w:abstractNumId w:val="93"/>
  </w:num>
  <w:num w:numId="92">
    <w:abstractNumId w:val="96"/>
  </w:num>
  <w:num w:numId="93">
    <w:abstractNumId w:val="70"/>
  </w:num>
  <w:num w:numId="94">
    <w:abstractNumId w:val="97"/>
  </w:num>
  <w:num w:numId="95">
    <w:abstractNumId w:val="17"/>
  </w:num>
  <w:num w:numId="96">
    <w:abstractNumId w:val="43"/>
  </w:num>
  <w:num w:numId="97">
    <w:abstractNumId w:val="42"/>
  </w:num>
  <w:num w:numId="98">
    <w:abstractNumId w:val="47"/>
  </w:num>
  <w:num w:numId="99">
    <w:abstractNumId w:val="54"/>
  </w:num>
  <w:num w:numId="100">
    <w:abstractNumId w:val="94"/>
  </w:num>
  <w:num w:numId="101">
    <w:abstractNumId w:val="2"/>
  </w:num>
  <w:num w:numId="102">
    <w:abstractNumId w:val="26"/>
  </w:num>
  <w:num w:numId="103">
    <w:abstractNumId w:val="9"/>
  </w:num>
  <w:num w:numId="104">
    <w:abstractNumId w:val="15"/>
  </w:num>
  <w:num w:numId="105">
    <w:abstractNumId w:val="103"/>
  </w:num>
  <w:num w:numId="106">
    <w:abstractNumId w:val="39"/>
  </w:num>
  <w:num w:numId="107">
    <w:abstractNumId w:val="1"/>
  </w:num>
  <w:num w:numId="108">
    <w:abstractNumId w:val="36"/>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7DC3"/>
    <w:rsid w:val="0000530B"/>
    <w:rsid w:val="000675F8"/>
    <w:rsid w:val="000E7DC3"/>
    <w:rsid w:val="00363EE8"/>
    <w:rsid w:val="003A0F8D"/>
    <w:rsid w:val="00401220"/>
    <w:rsid w:val="00426A0C"/>
    <w:rsid w:val="00560C54"/>
    <w:rsid w:val="006A713A"/>
    <w:rsid w:val="00701D5A"/>
    <w:rsid w:val="008E2139"/>
    <w:rsid w:val="00A910F9"/>
    <w:rsid w:val="00B339B0"/>
    <w:rsid w:val="00CA0582"/>
    <w:rsid w:val="00F13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E7DC3"/>
    <w:rPr>
      <w:b/>
      <w:bCs/>
    </w:rPr>
  </w:style>
  <w:style w:type="character" w:styleId="a4">
    <w:name w:val="Emphasis"/>
    <w:basedOn w:val="a0"/>
    <w:uiPriority w:val="20"/>
    <w:qFormat/>
    <w:rsid w:val="000E7DC3"/>
    <w:rPr>
      <w:i/>
      <w:iCs/>
    </w:rPr>
  </w:style>
  <w:style w:type="paragraph" w:customStyle="1" w:styleId="style16">
    <w:name w:val="style1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339B0"/>
    <w:rPr>
      <w:color w:val="0000FF"/>
      <w:u w:val="single"/>
    </w:rPr>
  </w:style>
  <w:style w:type="character" w:styleId="a7">
    <w:name w:val="FollowedHyperlink"/>
    <w:basedOn w:val="a0"/>
    <w:uiPriority w:val="99"/>
    <w:semiHidden/>
    <w:unhideWhenUsed/>
    <w:rsid w:val="00B339B0"/>
    <w:rPr>
      <w:color w:val="800080"/>
      <w:u w:val="single"/>
    </w:rPr>
  </w:style>
</w:styles>
</file>

<file path=word/webSettings.xml><?xml version="1.0" encoding="utf-8"?>
<w:webSettings xmlns:r="http://schemas.openxmlformats.org/officeDocument/2006/relationships" xmlns:w="http://schemas.openxmlformats.org/wordprocessingml/2006/main">
  <w:divs>
    <w:div w:id="344021227">
      <w:bodyDiv w:val="1"/>
      <w:marLeft w:val="0"/>
      <w:marRight w:val="0"/>
      <w:marTop w:val="0"/>
      <w:marBottom w:val="0"/>
      <w:divBdr>
        <w:top w:val="none" w:sz="0" w:space="0" w:color="auto"/>
        <w:left w:val="none" w:sz="0" w:space="0" w:color="auto"/>
        <w:bottom w:val="none" w:sz="0" w:space="0" w:color="auto"/>
        <w:right w:val="none" w:sz="0" w:space="0" w:color="auto"/>
      </w:divBdr>
    </w:div>
    <w:div w:id="450638680">
      <w:bodyDiv w:val="1"/>
      <w:marLeft w:val="0"/>
      <w:marRight w:val="0"/>
      <w:marTop w:val="0"/>
      <w:marBottom w:val="0"/>
      <w:divBdr>
        <w:top w:val="none" w:sz="0" w:space="0" w:color="auto"/>
        <w:left w:val="none" w:sz="0" w:space="0" w:color="auto"/>
        <w:bottom w:val="none" w:sz="0" w:space="0" w:color="auto"/>
        <w:right w:val="none" w:sz="0" w:space="0" w:color="auto"/>
      </w:divBdr>
    </w:div>
    <w:div w:id="666522118">
      <w:bodyDiv w:val="1"/>
      <w:marLeft w:val="0"/>
      <w:marRight w:val="0"/>
      <w:marTop w:val="0"/>
      <w:marBottom w:val="0"/>
      <w:divBdr>
        <w:top w:val="none" w:sz="0" w:space="0" w:color="auto"/>
        <w:left w:val="none" w:sz="0" w:space="0" w:color="auto"/>
        <w:bottom w:val="none" w:sz="0" w:space="0" w:color="auto"/>
        <w:right w:val="none" w:sz="0" w:space="0" w:color="auto"/>
      </w:divBdr>
    </w:div>
    <w:div w:id="1098140891">
      <w:bodyDiv w:val="1"/>
      <w:marLeft w:val="0"/>
      <w:marRight w:val="0"/>
      <w:marTop w:val="0"/>
      <w:marBottom w:val="0"/>
      <w:divBdr>
        <w:top w:val="none" w:sz="0" w:space="0" w:color="auto"/>
        <w:left w:val="none" w:sz="0" w:space="0" w:color="auto"/>
        <w:bottom w:val="none" w:sz="0" w:space="0" w:color="auto"/>
        <w:right w:val="none" w:sz="0" w:space="0" w:color="auto"/>
      </w:divBdr>
    </w:div>
    <w:div w:id="1221356848">
      <w:bodyDiv w:val="1"/>
      <w:marLeft w:val="0"/>
      <w:marRight w:val="0"/>
      <w:marTop w:val="0"/>
      <w:marBottom w:val="0"/>
      <w:divBdr>
        <w:top w:val="none" w:sz="0" w:space="0" w:color="auto"/>
        <w:left w:val="none" w:sz="0" w:space="0" w:color="auto"/>
        <w:bottom w:val="none" w:sz="0" w:space="0" w:color="auto"/>
        <w:right w:val="none" w:sz="0" w:space="0" w:color="auto"/>
      </w:divBdr>
    </w:div>
    <w:div w:id="1902054691">
      <w:bodyDiv w:val="1"/>
      <w:marLeft w:val="0"/>
      <w:marRight w:val="0"/>
      <w:marTop w:val="0"/>
      <w:marBottom w:val="0"/>
      <w:divBdr>
        <w:top w:val="none" w:sz="0" w:space="0" w:color="auto"/>
        <w:left w:val="none" w:sz="0" w:space="0" w:color="auto"/>
        <w:bottom w:val="none" w:sz="0" w:space="0" w:color="auto"/>
        <w:right w:val="none" w:sz="0" w:space="0" w:color="auto"/>
      </w:divBdr>
    </w:div>
    <w:div w:id="19644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cbr.ru/hd_base/metall/metall_base_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br.ru/banking_sector/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www.cbr.ru/finm_infrastructure/oper/"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related_activities/accounting/bank_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currency_base/"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21185</Words>
  <Characters>120760</Characters>
  <Application>Microsoft Office Word</Application>
  <DocSecurity>0</DocSecurity>
  <Lines>1006</Lines>
  <Paragraphs>283</Paragraphs>
  <ScaleCrop>false</ScaleCrop>
  <Company>SPecialiST RePack</Company>
  <LinksUpToDate>false</LinksUpToDate>
  <CharactersWithSpaces>141662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2023-10-18T06:40:00Z</dcterms:created>
  <dcterms:modified xsi:type="dcterms:W3CDTF">2023-10-18T07:04:00Z</dcterms:modified>
</cp:coreProperties>
</file>