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39B0" w:rsidRPr="00B339B0" w:rsidRDefault="00B339B0" w:rsidP="00B339B0">
      <w:pPr>
        <w:shd w:val="clear" w:color="auto" w:fill="FFFFFF"/>
        <w:spacing w:after="100" w:afterAutospacing="1" w:line="240" w:lineRule="auto"/>
        <w:jc w:val="center"/>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b/>
          <w:bCs/>
          <w:color w:val="252525"/>
          <w:sz w:val="19"/>
          <w:lang w:eastAsia="ru-RU"/>
        </w:rPr>
        <w:t>МЕТОДИЧЕСКИЕ РЕКОМЕНДАЦИИ</w:t>
      </w:r>
    </w:p>
    <w:p w:rsidR="00B339B0" w:rsidRPr="00B339B0" w:rsidRDefault="00B339B0" w:rsidP="00B339B0">
      <w:pPr>
        <w:shd w:val="clear" w:color="auto" w:fill="FFFFFF"/>
        <w:spacing w:after="100" w:afterAutospacing="1" w:line="240" w:lineRule="auto"/>
        <w:jc w:val="center"/>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b/>
          <w:bCs/>
          <w:color w:val="252525"/>
          <w:sz w:val="19"/>
          <w:lang w:eastAsia="ru-RU"/>
        </w:rPr>
        <w:t>ПО ВОПРОСАМ ПРЕДСТАВЛЕНИЯ СВЕДЕНИЙ</w:t>
      </w:r>
    </w:p>
    <w:p w:rsidR="00B339B0" w:rsidRPr="00B339B0" w:rsidRDefault="00B339B0" w:rsidP="00B339B0">
      <w:pPr>
        <w:shd w:val="clear" w:color="auto" w:fill="FFFFFF"/>
        <w:spacing w:after="100" w:afterAutospacing="1" w:line="240" w:lineRule="auto"/>
        <w:jc w:val="center"/>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b/>
          <w:bCs/>
          <w:color w:val="252525"/>
          <w:sz w:val="19"/>
          <w:lang w:eastAsia="ru-RU"/>
        </w:rPr>
        <w:t>О ДОХОДАХ, РАСХОДАХ, ОБ ИМУЩЕСТВЕ И ОБЯЗАТЕЛЬСТВАХ ИМУЩЕСТВЕННОГО ХАРАКТЕРА</w:t>
      </w:r>
    </w:p>
    <w:p w:rsidR="00B339B0" w:rsidRPr="00B339B0" w:rsidRDefault="00B339B0" w:rsidP="00B339B0">
      <w:pPr>
        <w:shd w:val="clear" w:color="auto" w:fill="FFFFFF"/>
        <w:spacing w:after="100" w:afterAutospacing="1" w:line="240" w:lineRule="auto"/>
        <w:jc w:val="center"/>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b/>
          <w:bCs/>
          <w:color w:val="252525"/>
          <w:sz w:val="19"/>
          <w:lang w:eastAsia="ru-RU"/>
        </w:rPr>
        <w:t>И ЗАПОЛНЕНИЯ СООТВЕТСТВУЮЩЕЙ ФОРМЫ СПРАВКИ</w:t>
      </w:r>
    </w:p>
    <w:p w:rsidR="00B339B0" w:rsidRPr="00B339B0" w:rsidRDefault="00B339B0" w:rsidP="00B339B0">
      <w:pPr>
        <w:shd w:val="clear" w:color="auto" w:fill="FFFFFF"/>
        <w:spacing w:after="100" w:afterAutospacing="1" w:line="240" w:lineRule="auto"/>
        <w:jc w:val="center"/>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в 2023 году (за отчетный 2022 год)</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 </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5" w:history="1">
        <w:r w:rsidRPr="00B339B0">
          <w:rPr>
            <w:rFonts w:ascii="PT-Astra-Sans-Regular" w:eastAsia="Times New Roman" w:hAnsi="PT-Astra-Sans-Regular" w:cs="Times New Roman"/>
            <w:color w:val="0345BF"/>
            <w:sz w:val="19"/>
            <w:lang w:eastAsia="ru-RU"/>
          </w:rPr>
          <w:t>методические рекомендации</w:t>
        </w:r>
      </w:hyperlink>
      <w:r w:rsidRPr="00B339B0">
        <w:rPr>
          <w:rFonts w:ascii="PT-Astra-Sans-Regular" w:eastAsia="Times New Roman" w:hAnsi="PT-Astra-Sans-Regular" w:cs="Times New Roman"/>
          <w:color w:val="252525"/>
          <w:sz w:val="19"/>
          <w:szCs w:val="19"/>
          <w:lang w:eastAsia="ru-RU"/>
        </w:rPr>
        <w:t> и другие инструктивно-методические материалы по данным вопросам.</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 xml:space="preserve">При этом подразделениям по профилактике коррупционных и иных правонарушений территориальных органов федеральных государственных органов, государственных внебюджетных фондов или аналогичных подразделений </w:t>
      </w:r>
      <w:r w:rsidRPr="00B339B0">
        <w:rPr>
          <w:rFonts w:ascii="PT-Astra-Sans-Regular" w:eastAsia="Times New Roman" w:hAnsi="PT-Astra-Sans-Regular" w:cs="Times New Roman"/>
          <w:color w:val="252525"/>
          <w:sz w:val="19"/>
          <w:szCs w:val="19"/>
          <w:lang w:eastAsia="ru-RU"/>
        </w:rPr>
        <w:lastRenderedPageBreak/>
        <w:t>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 </w:t>
      </w:r>
    </w:p>
    <w:p w:rsidR="00B339B0" w:rsidRPr="00B339B0" w:rsidRDefault="00B339B0" w:rsidP="00B339B0">
      <w:pPr>
        <w:numPr>
          <w:ilvl w:val="0"/>
          <w:numId w:val="1"/>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b/>
          <w:bCs/>
          <w:color w:val="252525"/>
          <w:sz w:val="19"/>
          <w:lang w:eastAsia="ru-RU"/>
        </w:rPr>
        <w:t>Представление сведений о доходах, расходах,</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b/>
          <w:bCs/>
          <w:color w:val="252525"/>
          <w:sz w:val="19"/>
          <w:lang w:eastAsia="ru-RU"/>
        </w:rPr>
        <w:t>об имуществе и обязательствах имущественного характера</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 </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b/>
          <w:bCs/>
          <w:color w:val="252525"/>
          <w:sz w:val="19"/>
          <w:lang w:eastAsia="ru-RU"/>
        </w:rPr>
        <w:t>Лица, обязанные представлять сведения о доходах, расходах, об имуществе и обязательствах имущественного характера</w:t>
      </w:r>
    </w:p>
    <w:p w:rsidR="00B339B0" w:rsidRPr="00B339B0" w:rsidRDefault="00B339B0" w:rsidP="00B339B0">
      <w:pPr>
        <w:numPr>
          <w:ilvl w:val="0"/>
          <w:numId w:val="2"/>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B339B0" w:rsidRPr="00B339B0" w:rsidRDefault="00B339B0" w:rsidP="00B339B0">
      <w:pPr>
        <w:numPr>
          <w:ilvl w:val="0"/>
          <w:numId w:val="3"/>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подпунктом 2 настоящего пункта);</w:t>
      </w:r>
    </w:p>
    <w:p w:rsidR="00B339B0" w:rsidRPr="00B339B0" w:rsidRDefault="00B339B0" w:rsidP="00B339B0">
      <w:pPr>
        <w:numPr>
          <w:ilvl w:val="0"/>
          <w:numId w:val="3"/>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в порядке, установленном законом субъекта Российской Федерации;</w:t>
      </w:r>
    </w:p>
    <w:p w:rsidR="00B339B0" w:rsidRPr="00B339B0" w:rsidRDefault="00B339B0" w:rsidP="00B339B0">
      <w:pPr>
        <w:numPr>
          <w:ilvl w:val="0"/>
          <w:numId w:val="3"/>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государственными и муниципальными служащими, замещающими должности, включенные в </w:t>
      </w:r>
      <w:hyperlink r:id="rId6" w:history="1">
        <w:r w:rsidRPr="00B339B0">
          <w:rPr>
            <w:rFonts w:ascii="PT-Astra-Sans-Regular" w:eastAsia="Times New Roman" w:hAnsi="PT-Astra-Sans-Regular" w:cs="Times New Roman"/>
            <w:color w:val="0345BF"/>
            <w:sz w:val="19"/>
            <w:lang w:eastAsia="ru-RU"/>
          </w:rPr>
          <w:t>перечни</w:t>
        </w:r>
      </w:hyperlink>
      <w:r w:rsidRPr="00B339B0">
        <w:rPr>
          <w:rFonts w:ascii="PT-Astra-Sans-Regular" w:eastAsia="Times New Roman" w:hAnsi="PT-Astra-Sans-Regular" w:cs="Times New Roman"/>
          <w:color w:val="252525"/>
          <w:sz w:val="19"/>
          <w:szCs w:val="19"/>
          <w:lang w:eastAsia="ru-RU"/>
        </w:rPr>
        <w:t>, утвержденные нормативными правовыми актами Российской Федерации;</w:t>
      </w:r>
    </w:p>
    <w:p w:rsidR="00B339B0" w:rsidRPr="00B339B0" w:rsidRDefault="00B339B0" w:rsidP="00B339B0">
      <w:pPr>
        <w:numPr>
          <w:ilvl w:val="0"/>
          <w:numId w:val="3"/>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работниками государственных корпораций (компаний, публично-правовых компаний), государственных внебюджетных фондов,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B339B0" w:rsidRPr="00B339B0" w:rsidRDefault="00B339B0" w:rsidP="00B339B0">
      <w:pPr>
        <w:numPr>
          <w:ilvl w:val="0"/>
          <w:numId w:val="3"/>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7" w:history="1">
        <w:r w:rsidRPr="00B339B0">
          <w:rPr>
            <w:rFonts w:ascii="PT-Astra-Sans-Regular" w:eastAsia="Times New Roman" w:hAnsi="PT-Astra-Sans-Regular" w:cs="Times New Roman"/>
            <w:color w:val="0345BF"/>
            <w:sz w:val="19"/>
            <w:lang w:eastAsia="ru-RU"/>
          </w:rPr>
          <w:t>перечень</w:t>
        </w:r>
      </w:hyperlink>
      <w:r w:rsidRPr="00B339B0">
        <w:rPr>
          <w:rFonts w:ascii="PT-Astra-Sans-Regular" w:eastAsia="Times New Roman" w:hAnsi="PT-Astra-Sans-Regular" w:cs="Times New Roman"/>
          <w:color w:val="252525"/>
          <w:sz w:val="19"/>
          <w:szCs w:val="19"/>
          <w:lang w:eastAsia="ru-RU"/>
        </w:rPr>
        <w:t>, утвержденный Советом директоров Центрального банка Российской Федерации;</w:t>
      </w:r>
    </w:p>
    <w:p w:rsidR="00B339B0" w:rsidRPr="00B339B0" w:rsidRDefault="00B339B0" w:rsidP="00B339B0">
      <w:pPr>
        <w:numPr>
          <w:ilvl w:val="0"/>
          <w:numId w:val="3"/>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8" w:history="1">
        <w:r w:rsidRPr="00B339B0">
          <w:rPr>
            <w:rFonts w:ascii="PT-Astra-Sans-Regular" w:eastAsia="Times New Roman" w:hAnsi="PT-Astra-Sans-Regular" w:cs="Times New Roman"/>
            <w:color w:val="0345BF"/>
            <w:sz w:val="19"/>
            <w:lang w:eastAsia="ru-RU"/>
          </w:rPr>
          <w:t>перечни</w:t>
        </w:r>
      </w:hyperlink>
      <w:r w:rsidRPr="00B339B0">
        <w:rPr>
          <w:rFonts w:ascii="PT-Astra-Sans-Regular" w:eastAsia="Times New Roman" w:hAnsi="PT-Astra-Sans-Regular" w:cs="Times New Roman"/>
          <w:color w:val="252525"/>
          <w:sz w:val="19"/>
          <w:szCs w:val="19"/>
          <w:lang w:eastAsia="ru-RU"/>
        </w:rPr>
        <w:t>, утвержденные федеральными государственными органами;</w:t>
      </w:r>
    </w:p>
    <w:p w:rsidR="00B339B0" w:rsidRPr="00B339B0" w:rsidRDefault="00B339B0" w:rsidP="00B339B0">
      <w:pPr>
        <w:numPr>
          <w:ilvl w:val="0"/>
          <w:numId w:val="3"/>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B339B0" w:rsidRPr="00B339B0" w:rsidRDefault="00B339B0" w:rsidP="00B339B0">
      <w:pPr>
        <w:numPr>
          <w:ilvl w:val="0"/>
          <w:numId w:val="3"/>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rsidR="00B339B0" w:rsidRPr="00B339B0" w:rsidRDefault="00B339B0" w:rsidP="00B339B0">
      <w:pPr>
        <w:numPr>
          <w:ilvl w:val="0"/>
          <w:numId w:val="3"/>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иными лицами в соответствии с законодательством Российской Федерации.</w:t>
      </w:r>
    </w:p>
    <w:p w:rsidR="00B339B0" w:rsidRPr="00B339B0" w:rsidRDefault="00B339B0" w:rsidP="00B339B0">
      <w:pPr>
        <w:numPr>
          <w:ilvl w:val="0"/>
          <w:numId w:val="4"/>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B339B0" w:rsidRPr="00B339B0" w:rsidRDefault="00B339B0" w:rsidP="00B339B0">
      <w:pPr>
        <w:numPr>
          <w:ilvl w:val="0"/>
          <w:numId w:val="5"/>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lastRenderedPageBreak/>
        <w:t>государственной должности Российской Федерации, государственной должности субъекта Российской Федерации, муниципальной должности;</w:t>
      </w:r>
    </w:p>
    <w:p w:rsidR="00B339B0" w:rsidRPr="00B339B0" w:rsidRDefault="00B339B0" w:rsidP="00B339B0">
      <w:pPr>
        <w:numPr>
          <w:ilvl w:val="0"/>
          <w:numId w:val="5"/>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любой должности государственной службы Российской Федерации (поступающим на службу);</w:t>
      </w:r>
    </w:p>
    <w:p w:rsidR="00B339B0" w:rsidRPr="00B339B0" w:rsidRDefault="00B339B0" w:rsidP="00B339B0">
      <w:pPr>
        <w:numPr>
          <w:ilvl w:val="0"/>
          <w:numId w:val="5"/>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должности муниципальной службы, включенной в перечни, утвержденные нормативными правовыми актами Российской Федерации;</w:t>
      </w:r>
    </w:p>
    <w:p w:rsidR="00B339B0" w:rsidRPr="00B339B0" w:rsidRDefault="00B339B0" w:rsidP="00B339B0">
      <w:pPr>
        <w:numPr>
          <w:ilvl w:val="0"/>
          <w:numId w:val="5"/>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должности в государственных корпорациях (компаниях, публично-правовых компаниях), государственных внебюджетных фондах,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rsidR="00B339B0" w:rsidRPr="00B339B0" w:rsidRDefault="00B339B0" w:rsidP="00B339B0">
      <w:pPr>
        <w:numPr>
          <w:ilvl w:val="0"/>
          <w:numId w:val="5"/>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9" w:history="1">
        <w:r w:rsidRPr="00B339B0">
          <w:rPr>
            <w:rFonts w:ascii="PT-Astra-Sans-Regular" w:eastAsia="Times New Roman" w:hAnsi="PT-Astra-Sans-Regular" w:cs="Times New Roman"/>
            <w:color w:val="0345BF"/>
            <w:sz w:val="19"/>
            <w:lang w:eastAsia="ru-RU"/>
          </w:rPr>
          <w:t>перечень</w:t>
        </w:r>
      </w:hyperlink>
      <w:r w:rsidRPr="00B339B0">
        <w:rPr>
          <w:rFonts w:ascii="PT-Astra-Sans-Regular" w:eastAsia="Times New Roman" w:hAnsi="PT-Astra-Sans-Regular" w:cs="Times New Roman"/>
          <w:color w:val="252525"/>
          <w:sz w:val="19"/>
          <w:szCs w:val="19"/>
          <w:lang w:eastAsia="ru-RU"/>
        </w:rPr>
        <w:t>, утвержденный Советом директоров Центрального банка Российской Федерации;</w:t>
      </w:r>
    </w:p>
    <w:p w:rsidR="00B339B0" w:rsidRPr="00B339B0" w:rsidRDefault="00B339B0" w:rsidP="00B339B0">
      <w:pPr>
        <w:numPr>
          <w:ilvl w:val="0"/>
          <w:numId w:val="5"/>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0" w:history="1">
        <w:r w:rsidRPr="00B339B0">
          <w:rPr>
            <w:rFonts w:ascii="PT-Astra-Sans-Regular" w:eastAsia="Times New Roman" w:hAnsi="PT-Astra-Sans-Regular" w:cs="Times New Roman"/>
            <w:color w:val="0345BF"/>
            <w:sz w:val="19"/>
            <w:lang w:eastAsia="ru-RU"/>
          </w:rPr>
          <w:t>перечни</w:t>
        </w:r>
      </w:hyperlink>
      <w:r w:rsidRPr="00B339B0">
        <w:rPr>
          <w:rFonts w:ascii="PT-Astra-Sans-Regular" w:eastAsia="Times New Roman" w:hAnsi="PT-Astra-Sans-Regular" w:cs="Times New Roman"/>
          <w:color w:val="252525"/>
          <w:sz w:val="19"/>
          <w:szCs w:val="19"/>
          <w:lang w:eastAsia="ru-RU"/>
        </w:rPr>
        <w:t>, утвержденные федеральными государственными органами;</w:t>
      </w:r>
    </w:p>
    <w:p w:rsidR="00B339B0" w:rsidRPr="00B339B0" w:rsidRDefault="00B339B0" w:rsidP="00B339B0">
      <w:pPr>
        <w:numPr>
          <w:ilvl w:val="0"/>
          <w:numId w:val="5"/>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rsidR="00B339B0" w:rsidRPr="00B339B0" w:rsidRDefault="00B339B0" w:rsidP="00B339B0">
      <w:pPr>
        <w:numPr>
          <w:ilvl w:val="0"/>
          <w:numId w:val="5"/>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должности финансового уполномоченного, руководителя службы обеспечения деятельности финансового уполномоченного;</w:t>
      </w:r>
    </w:p>
    <w:p w:rsidR="00B339B0" w:rsidRPr="00B339B0" w:rsidRDefault="00B339B0" w:rsidP="00B339B0">
      <w:pPr>
        <w:numPr>
          <w:ilvl w:val="0"/>
          <w:numId w:val="5"/>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иных должностей в соответствии с законодательством Российской Федерации.</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rsidR="00B339B0" w:rsidRPr="00B339B0" w:rsidRDefault="00B339B0" w:rsidP="00B339B0">
      <w:pPr>
        <w:numPr>
          <w:ilvl w:val="0"/>
          <w:numId w:val="6"/>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Лица, претендующие и (или) замещающие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Российской Федерации, муниципальной службы на территориях Донецкой Народной Республики, Луганской Народной Республики, Запорожской области, Херсонской области, не представляют Сведения в рамках декларационной кампании 2023 года.</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Лица, претендующие и (или) замещающие должности в отдельных категориях организаций, расположенных на территориях Донецкой Народной Республики, Луганской Народной Республики, Запорожской области, Херсонской области, не представляют Сведения в рамках декларационной кампании 2023 года.</w:t>
      </w:r>
    </w:p>
    <w:p w:rsidR="00B339B0" w:rsidRPr="00B339B0" w:rsidRDefault="00B339B0" w:rsidP="00B339B0">
      <w:pPr>
        <w:numPr>
          <w:ilvl w:val="0"/>
          <w:numId w:val="7"/>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1" w:history="1">
        <w:r w:rsidRPr="00B339B0">
          <w:rPr>
            <w:rFonts w:ascii="PT-Astra-Sans-Regular" w:eastAsia="Times New Roman" w:hAnsi="PT-Astra-Sans-Regular" w:cs="Times New Roman"/>
            <w:color w:val="0345BF"/>
            <w:sz w:val="19"/>
            <w:lang w:eastAsia="ru-RU"/>
          </w:rPr>
          <w:t>перечнем</w:t>
        </w:r>
      </w:hyperlink>
      <w:r w:rsidRPr="00B339B0">
        <w:rPr>
          <w:rFonts w:ascii="PT-Astra-Sans-Regular" w:eastAsia="Times New Roman" w:hAnsi="PT-Astra-Sans-Regular" w:cs="Times New Roman"/>
          <w:color w:val="252525"/>
          <w:sz w:val="19"/>
          <w:szCs w:val="19"/>
          <w:lang w:eastAsia="ru-RU"/>
        </w:rPr>
        <w:t>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w:t>
      </w:r>
    </w:p>
    <w:p w:rsidR="00B339B0" w:rsidRPr="00B339B0" w:rsidRDefault="00B339B0" w:rsidP="00B339B0">
      <w:pPr>
        <w:numPr>
          <w:ilvl w:val="0"/>
          <w:numId w:val="7"/>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В период проведения специальной военной операции и до издания соответствующих нормативных правовых актов Российской Федерации военнослужащие,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 (далее – военнослужащие, сотрудники и лица), замещающие должности федеральной государственной службы, не предусмотренные соответствующим перечнем должностей, и претендующие на замещение должностей федеральной государственной службы, предусмотренных таким перечнем, не представляют Сведения в случае если:</w:t>
      </w:r>
    </w:p>
    <w:p w:rsidR="00B339B0" w:rsidRPr="00B339B0" w:rsidRDefault="00B339B0" w:rsidP="00B339B0">
      <w:pPr>
        <w:numPr>
          <w:ilvl w:val="1"/>
          <w:numId w:val="7"/>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такие военнослужащие, сотрудники и лица принимают или принимали участие в специальной военной операции или непосредственно выполняют или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(вне зависимости от продолжительности и периода участия (выполнения задач);</w:t>
      </w:r>
    </w:p>
    <w:p w:rsidR="00B339B0" w:rsidRPr="00B339B0" w:rsidRDefault="00B339B0" w:rsidP="00B339B0">
      <w:pPr>
        <w:numPr>
          <w:ilvl w:val="1"/>
          <w:numId w:val="7"/>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lastRenderedPageBreak/>
        <w:t>планируется участие таких военнослужащих, сотрудников и лиц в специальной военной операции или непосредственное выполнение ими задач, связанных с ее проведением, на территориях Донецкой Народной Республики, Луганской Народной Республики, Запорожской области, Херсонской области и Украины (если планируемое участие не состоялось и (или) отменено, данный подпункт не применяется).</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b/>
          <w:bCs/>
          <w:color w:val="252525"/>
          <w:sz w:val="19"/>
          <w:lang w:eastAsia="ru-RU"/>
        </w:rPr>
        <w:t>Обязательность представления Сведений</w:t>
      </w:r>
    </w:p>
    <w:p w:rsidR="00B339B0" w:rsidRPr="00B339B0" w:rsidRDefault="00B339B0" w:rsidP="00B339B0">
      <w:pPr>
        <w:numPr>
          <w:ilvl w:val="0"/>
          <w:numId w:val="8"/>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Нахождение служащего (работника) в отпуске (ежегодном оплачиваемом отпуске, отпуске без сохранения денежного содержания, отпуске по уходу за ребенком или другом предусмотренном законодательством отпуске), временная нетрудоспособность или иной период неисполнения должностных обязанностей в соответствии с антикоррупционным законодательством не освобождает от обязанности представить Сведения.</w:t>
      </w:r>
    </w:p>
    <w:p w:rsidR="00B339B0" w:rsidRPr="00B339B0" w:rsidRDefault="00B339B0" w:rsidP="00B339B0">
      <w:pPr>
        <w:numPr>
          <w:ilvl w:val="0"/>
          <w:numId w:val="8"/>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В период проведения специальной военной операции и до издания соответствующих нормативных правовых актов Российской Федерации Сведения не представляют военнослужащие, сотрудники и лица,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а также 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замещающие должности, осуществление полномочий по которым влечет за собой обязанность представлять Сведения.</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rsidR="00B339B0" w:rsidRPr="00B339B0" w:rsidRDefault="00B339B0" w:rsidP="00B339B0">
      <w:pPr>
        <w:numPr>
          <w:ilvl w:val="0"/>
          <w:numId w:val="9"/>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Лица, 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rsidR="00B339B0" w:rsidRPr="00B339B0" w:rsidRDefault="00B339B0" w:rsidP="00B339B0">
      <w:pPr>
        <w:numPr>
          <w:ilvl w:val="0"/>
          <w:numId w:val="9"/>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 осуществление установленных по основному месту службы (работы) прав и обязанностей, в том числе касающихся представления Сведений.</w:t>
      </w:r>
    </w:p>
    <w:p w:rsidR="00B339B0" w:rsidRPr="00B339B0" w:rsidRDefault="00B339B0" w:rsidP="00B339B0">
      <w:pPr>
        <w:numPr>
          <w:ilvl w:val="0"/>
          <w:numId w:val="9"/>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пункте 12 настоящих Методических рекомендаций.</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b/>
          <w:bCs/>
          <w:color w:val="252525"/>
          <w:sz w:val="19"/>
          <w:lang w:eastAsia="ru-RU"/>
        </w:rPr>
        <w:t>Сроки представления Сведений</w:t>
      </w:r>
    </w:p>
    <w:p w:rsidR="00B339B0" w:rsidRPr="00B339B0" w:rsidRDefault="00B339B0" w:rsidP="00B339B0">
      <w:pPr>
        <w:numPr>
          <w:ilvl w:val="0"/>
          <w:numId w:val="10"/>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B339B0" w:rsidRPr="00B339B0" w:rsidRDefault="00B339B0" w:rsidP="00B339B0">
      <w:pPr>
        <w:numPr>
          <w:ilvl w:val="0"/>
          <w:numId w:val="11"/>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Служащие (работники) представляют Сведения ежегодно в следующие сроки:</w:t>
      </w:r>
    </w:p>
    <w:p w:rsidR="00B339B0" w:rsidRPr="00B339B0" w:rsidRDefault="00B339B0" w:rsidP="00B339B0">
      <w:pPr>
        <w:numPr>
          <w:ilvl w:val="0"/>
          <w:numId w:val="12"/>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lastRenderedPageBreak/>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B339B0" w:rsidRPr="00B339B0" w:rsidRDefault="00B339B0" w:rsidP="00B339B0">
      <w:pPr>
        <w:numPr>
          <w:ilvl w:val="0"/>
          <w:numId w:val="12"/>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государственных корпораций (компаний, публично-правовых компаний), государственных внебюджетных фондов,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B339B0" w:rsidRPr="00B339B0" w:rsidRDefault="00B339B0" w:rsidP="00B339B0">
      <w:pPr>
        <w:numPr>
          <w:ilvl w:val="0"/>
          <w:numId w:val="13"/>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Сведения могут быть представлены служащим (работником) в любое время, начиная с 1 января года, следующего за отчетным.</w:t>
      </w:r>
    </w:p>
    <w:p w:rsidR="00B339B0" w:rsidRPr="00B339B0" w:rsidRDefault="00B339B0" w:rsidP="00B339B0">
      <w:pPr>
        <w:numPr>
          <w:ilvl w:val="0"/>
          <w:numId w:val="13"/>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B339B0" w:rsidRPr="00B339B0" w:rsidRDefault="00B339B0" w:rsidP="00B339B0">
      <w:pPr>
        <w:numPr>
          <w:ilvl w:val="0"/>
          <w:numId w:val="13"/>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пункте 10 настоящих Методический рекомендаций.</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Нерабочий день не является основанием для переноса срока представления Сведений.</w:t>
      </w:r>
    </w:p>
    <w:p w:rsidR="00B339B0" w:rsidRPr="00B339B0" w:rsidRDefault="00B339B0" w:rsidP="00B339B0">
      <w:pPr>
        <w:numPr>
          <w:ilvl w:val="0"/>
          <w:numId w:val="14"/>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b/>
          <w:bCs/>
          <w:color w:val="252525"/>
          <w:sz w:val="19"/>
          <w:lang w:eastAsia="ru-RU"/>
        </w:rPr>
        <w:t>Лица, в отношении которых представляются Сведения</w:t>
      </w:r>
    </w:p>
    <w:p w:rsidR="00B339B0" w:rsidRPr="00B339B0" w:rsidRDefault="00B339B0" w:rsidP="00B339B0">
      <w:pPr>
        <w:numPr>
          <w:ilvl w:val="0"/>
          <w:numId w:val="15"/>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Сведения представляются отдельно:</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1) в отношении служащего (работника),</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2) в отношении его супруги (супруга),</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3) в отношении каждого несовершеннолетнего ребенка служащего (работника).</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B339B0" w:rsidRPr="00B339B0" w:rsidRDefault="00B339B0" w:rsidP="00B339B0">
      <w:pPr>
        <w:numPr>
          <w:ilvl w:val="0"/>
          <w:numId w:val="16"/>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b/>
          <w:bCs/>
          <w:color w:val="252525"/>
          <w:sz w:val="19"/>
          <w:lang w:eastAsia="ru-RU"/>
        </w:rPr>
        <w:t>Отчетный период и отчетная дата представления Сведений</w:t>
      </w:r>
      <w:r w:rsidRPr="00B339B0">
        <w:rPr>
          <w:rFonts w:ascii="PT-Astra-Sans-Regular" w:eastAsia="Times New Roman" w:hAnsi="PT-Astra-Sans-Regular" w:cs="Times New Roman"/>
          <w:color w:val="252525"/>
          <w:sz w:val="19"/>
          <w:szCs w:val="19"/>
          <w:lang w:eastAsia="ru-RU"/>
        </w:rPr>
        <w:t>, установленные для граждан и служащих (работников), различны:</w:t>
      </w:r>
    </w:p>
    <w:p w:rsidR="00B339B0" w:rsidRPr="00B339B0" w:rsidRDefault="00B339B0" w:rsidP="00B339B0">
      <w:pPr>
        <w:numPr>
          <w:ilvl w:val="0"/>
          <w:numId w:val="17"/>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гражданин представляет:</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B339B0" w:rsidRPr="00B339B0" w:rsidRDefault="00B339B0" w:rsidP="00B339B0">
      <w:pPr>
        <w:numPr>
          <w:ilvl w:val="0"/>
          <w:numId w:val="18"/>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служащий (работник) представляет ежегодно:</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 xml:space="preserve">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w:t>
      </w:r>
      <w:r w:rsidRPr="00B339B0">
        <w:rPr>
          <w:rFonts w:ascii="PT-Astra-Sans-Regular" w:eastAsia="Times New Roman" w:hAnsi="PT-Astra-Sans-Regular" w:cs="Times New Roman"/>
          <w:color w:val="252525"/>
          <w:sz w:val="19"/>
          <w:szCs w:val="19"/>
          <w:lang w:eastAsia="ru-RU"/>
        </w:rPr>
        <w:lastRenderedPageBreak/>
        <w:t>утилитарных цифровых правах и цифровой валюте, отчужденных в течение указанного периода в результате безвозмездной сделки;</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B339B0" w:rsidRPr="00B339B0" w:rsidRDefault="00B339B0" w:rsidP="00B339B0">
      <w:pPr>
        <w:numPr>
          <w:ilvl w:val="0"/>
          <w:numId w:val="19"/>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18 настоящих Методических рекомендаций.</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b/>
          <w:bCs/>
          <w:color w:val="252525"/>
          <w:sz w:val="19"/>
          <w:lang w:eastAsia="ru-RU"/>
        </w:rPr>
        <w:t>Замещение конкретной должности на отчетную дату как основание для представления Сведений</w:t>
      </w:r>
    </w:p>
    <w:p w:rsidR="00B339B0" w:rsidRPr="00B339B0" w:rsidRDefault="00B339B0" w:rsidP="00B339B0">
      <w:pPr>
        <w:numPr>
          <w:ilvl w:val="0"/>
          <w:numId w:val="20"/>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B339B0" w:rsidRPr="00B339B0" w:rsidRDefault="00B339B0" w:rsidP="00B339B0">
      <w:pPr>
        <w:numPr>
          <w:ilvl w:val="1"/>
          <w:numId w:val="20"/>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rsidR="00B339B0" w:rsidRPr="00B339B0" w:rsidRDefault="00B339B0" w:rsidP="00B339B0">
      <w:pPr>
        <w:numPr>
          <w:ilvl w:val="0"/>
          <w:numId w:val="21"/>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rsidR="00B339B0" w:rsidRPr="00B339B0" w:rsidRDefault="00B339B0" w:rsidP="00B339B0">
      <w:pPr>
        <w:numPr>
          <w:ilvl w:val="0"/>
          <w:numId w:val="22"/>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Представление Сведений после увольнения служащего (работника) в период с 1 января по 1 (30) апреля 2023 г. не требуется.</w:t>
      </w:r>
    </w:p>
    <w:p w:rsidR="00B339B0" w:rsidRPr="00B339B0" w:rsidRDefault="00B339B0" w:rsidP="00B339B0">
      <w:pPr>
        <w:numPr>
          <w:ilvl w:val="0"/>
          <w:numId w:val="22"/>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lastRenderedPageBreak/>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b/>
          <w:bCs/>
          <w:color w:val="252525"/>
          <w:sz w:val="19"/>
          <w:lang w:eastAsia="ru-RU"/>
        </w:rPr>
        <w:t>Определение круга лиц (членов семьи), в отношении которых необходимо представить Сведения</w:t>
      </w:r>
    </w:p>
    <w:p w:rsidR="00B339B0" w:rsidRPr="00B339B0" w:rsidRDefault="00B339B0" w:rsidP="00B339B0">
      <w:pPr>
        <w:numPr>
          <w:ilvl w:val="0"/>
          <w:numId w:val="23"/>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Сведения представляются с учетом семейного положения, в котором находился гражданин, служащий (работник) по состоянию на отчетную дату.</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b/>
          <w:bCs/>
          <w:color w:val="252525"/>
          <w:sz w:val="19"/>
          <w:lang w:eastAsia="ru-RU"/>
        </w:rPr>
        <w:t>Супруги</w:t>
      </w:r>
    </w:p>
    <w:p w:rsidR="00B339B0" w:rsidRPr="00B339B0" w:rsidRDefault="00B339B0" w:rsidP="00B339B0">
      <w:pPr>
        <w:numPr>
          <w:ilvl w:val="0"/>
          <w:numId w:val="24"/>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w:t>
      </w:r>
    </w:p>
    <w:p w:rsidR="00B339B0" w:rsidRPr="00B339B0" w:rsidRDefault="00B339B0" w:rsidP="00B339B0">
      <w:pPr>
        <w:numPr>
          <w:ilvl w:val="0"/>
          <w:numId w:val="24"/>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Перечень ситуаций и рекомендуемые действия (таблица № 1):</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 </w:t>
      </w:r>
    </w:p>
    <w:tbl>
      <w:tblPr>
        <w:tblW w:w="8280" w:type="dxa"/>
        <w:shd w:val="clear" w:color="auto" w:fill="FFFFFF"/>
        <w:tblCellMar>
          <w:top w:w="15" w:type="dxa"/>
          <w:left w:w="15" w:type="dxa"/>
          <w:bottom w:w="15" w:type="dxa"/>
          <w:right w:w="15" w:type="dxa"/>
        </w:tblCellMar>
        <w:tblLook w:val="04A0"/>
      </w:tblPr>
      <w:tblGrid>
        <w:gridCol w:w="2496"/>
        <w:gridCol w:w="5784"/>
      </w:tblGrid>
      <w:tr w:rsidR="00B339B0" w:rsidRPr="00B339B0" w:rsidTr="00B339B0">
        <w:tc>
          <w:tcPr>
            <w:tcW w:w="8280" w:type="dxa"/>
            <w:gridSpan w:val="2"/>
            <w:shd w:val="clear" w:color="auto" w:fill="FFFFFF"/>
            <w:vAlign w:val="center"/>
            <w:hideMark/>
          </w:tcPr>
          <w:p w:rsidR="00B339B0" w:rsidRPr="00B339B0" w:rsidRDefault="00B339B0" w:rsidP="00B339B0">
            <w:pPr>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Пример: служащий (работник) представляет Сведения в 2023 году</w:t>
            </w:r>
            <w:r w:rsidRPr="00B339B0">
              <w:rPr>
                <w:rFonts w:ascii="PT-Astra-Sans-Regular" w:eastAsia="Times New Roman" w:hAnsi="PT-Astra-Sans-Regular" w:cs="Times New Roman"/>
                <w:color w:val="252525"/>
                <w:sz w:val="19"/>
                <w:szCs w:val="19"/>
                <w:lang w:eastAsia="ru-RU"/>
              </w:rPr>
              <w:br/>
              <w:t>(за отчетный 2022 г.)</w:t>
            </w:r>
          </w:p>
        </w:tc>
      </w:tr>
      <w:tr w:rsidR="00B339B0" w:rsidRPr="00B339B0" w:rsidTr="00B339B0">
        <w:tc>
          <w:tcPr>
            <w:tcW w:w="2496" w:type="dxa"/>
            <w:shd w:val="clear" w:color="auto" w:fill="FFFFFF"/>
            <w:vAlign w:val="center"/>
            <w:hideMark/>
          </w:tcPr>
          <w:p w:rsidR="00B339B0" w:rsidRPr="00B339B0" w:rsidRDefault="00B339B0" w:rsidP="00B339B0">
            <w:pPr>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Брак заключен в органах записи актов гражданского состояния (далее – ЗАГС) в ноябре 2022 года</w:t>
            </w:r>
          </w:p>
        </w:tc>
        <w:tc>
          <w:tcPr>
            <w:tcW w:w="5784" w:type="dxa"/>
            <w:shd w:val="clear" w:color="auto" w:fill="FFFFFF"/>
            <w:vAlign w:val="center"/>
            <w:hideMark/>
          </w:tcPr>
          <w:p w:rsidR="00B339B0" w:rsidRPr="00B339B0" w:rsidRDefault="00B339B0" w:rsidP="00B339B0">
            <w:pPr>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Сведения в отношении супруги (супруга) представляются, поскольку по состоянию на отчетную дату (31 декабря 2022 года) служащий (работник) состоял в браке</w:t>
            </w:r>
          </w:p>
        </w:tc>
      </w:tr>
      <w:tr w:rsidR="00B339B0" w:rsidRPr="00B339B0" w:rsidTr="00B339B0">
        <w:tc>
          <w:tcPr>
            <w:tcW w:w="2496" w:type="dxa"/>
            <w:shd w:val="clear" w:color="auto" w:fill="FFFFFF"/>
            <w:vAlign w:val="center"/>
            <w:hideMark/>
          </w:tcPr>
          <w:p w:rsidR="00B339B0" w:rsidRPr="00B339B0" w:rsidRDefault="00B339B0" w:rsidP="00B339B0">
            <w:pPr>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Брак заключен в ЗАГСе в марте 2023 года</w:t>
            </w:r>
          </w:p>
        </w:tc>
        <w:tc>
          <w:tcPr>
            <w:tcW w:w="5784" w:type="dxa"/>
            <w:shd w:val="clear" w:color="auto" w:fill="FFFFFF"/>
            <w:vAlign w:val="center"/>
            <w:hideMark/>
          </w:tcPr>
          <w:p w:rsidR="00B339B0" w:rsidRPr="00B339B0" w:rsidRDefault="00B339B0" w:rsidP="00B339B0">
            <w:pPr>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Сведения в отношении супруги (супруга) не представляются, поскольку по состоянию на отчетную дату (31 декабря 2022 года) служащий (работник) не состоял в браке</w:t>
            </w:r>
          </w:p>
        </w:tc>
      </w:tr>
      <w:tr w:rsidR="00B339B0" w:rsidRPr="00B339B0" w:rsidTr="00B339B0">
        <w:tc>
          <w:tcPr>
            <w:tcW w:w="8280" w:type="dxa"/>
            <w:gridSpan w:val="2"/>
            <w:shd w:val="clear" w:color="auto" w:fill="FFFFFF"/>
            <w:vAlign w:val="center"/>
            <w:hideMark/>
          </w:tcPr>
          <w:p w:rsidR="00B339B0" w:rsidRPr="00B339B0" w:rsidRDefault="00B339B0" w:rsidP="00B339B0">
            <w:pPr>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B339B0" w:rsidRPr="00B339B0" w:rsidTr="00B339B0">
        <w:tc>
          <w:tcPr>
            <w:tcW w:w="2496" w:type="dxa"/>
            <w:shd w:val="clear" w:color="auto" w:fill="FFFFFF"/>
            <w:vAlign w:val="center"/>
            <w:hideMark/>
          </w:tcPr>
          <w:p w:rsidR="00B339B0" w:rsidRPr="00B339B0" w:rsidRDefault="00B339B0" w:rsidP="00B339B0">
            <w:pPr>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Брак заключен 1 февраля 2023 года</w:t>
            </w:r>
          </w:p>
        </w:tc>
        <w:tc>
          <w:tcPr>
            <w:tcW w:w="5784" w:type="dxa"/>
            <w:shd w:val="clear" w:color="auto" w:fill="FFFFFF"/>
            <w:vAlign w:val="center"/>
            <w:hideMark/>
          </w:tcPr>
          <w:p w:rsidR="00B339B0" w:rsidRPr="00B339B0" w:rsidRDefault="00B339B0" w:rsidP="00B339B0">
            <w:pPr>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Сведения в отношении супруги представляются, поскольку по состоянию на отчетную дату (1 августа 2023 года) гражданин состоял в браке</w:t>
            </w:r>
          </w:p>
        </w:tc>
      </w:tr>
      <w:tr w:rsidR="00B339B0" w:rsidRPr="00B339B0" w:rsidTr="00B339B0">
        <w:tc>
          <w:tcPr>
            <w:tcW w:w="2496" w:type="dxa"/>
            <w:shd w:val="clear" w:color="auto" w:fill="FFFFFF"/>
            <w:vAlign w:val="center"/>
            <w:hideMark/>
          </w:tcPr>
          <w:p w:rsidR="00B339B0" w:rsidRPr="00B339B0" w:rsidRDefault="00B339B0" w:rsidP="00B339B0">
            <w:pPr>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Брак заключен 2 августа 2023 года</w:t>
            </w:r>
          </w:p>
        </w:tc>
        <w:tc>
          <w:tcPr>
            <w:tcW w:w="5784" w:type="dxa"/>
            <w:shd w:val="clear" w:color="auto" w:fill="FFFFFF"/>
            <w:vAlign w:val="center"/>
            <w:hideMark/>
          </w:tcPr>
          <w:p w:rsidR="00B339B0" w:rsidRPr="00B339B0" w:rsidRDefault="00B339B0" w:rsidP="00B339B0">
            <w:pPr>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Сведения в отношении супруги не представляются, поскольку по состоянию на отчетную дату (1 августа 2023 года) гражданин еще не вступил в брак</w:t>
            </w:r>
          </w:p>
        </w:tc>
      </w:tr>
    </w:tbl>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 </w:t>
      </w:r>
    </w:p>
    <w:p w:rsidR="00B339B0" w:rsidRPr="00B339B0" w:rsidRDefault="00B339B0" w:rsidP="00B339B0">
      <w:pPr>
        <w:numPr>
          <w:ilvl w:val="0"/>
          <w:numId w:val="25"/>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Перечень ситуаций и рекомендуемые действия (таблица № 2)</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 </w:t>
      </w:r>
    </w:p>
    <w:tbl>
      <w:tblPr>
        <w:tblW w:w="8280" w:type="dxa"/>
        <w:shd w:val="clear" w:color="auto" w:fill="FFFFFF"/>
        <w:tblCellMar>
          <w:top w:w="15" w:type="dxa"/>
          <w:left w:w="15" w:type="dxa"/>
          <w:bottom w:w="15" w:type="dxa"/>
          <w:right w:w="15" w:type="dxa"/>
        </w:tblCellMar>
        <w:tblLook w:val="04A0"/>
      </w:tblPr>
      <w:tblGrid>
        <w:gridCol w:w="2520"/>
        <w:gridCol w:w="5760"/>
      </w:tblGrid>
      <w:tr w:rsidR="00B339B0" w:rsidRPr="00B339B0" w:rsidTr="00B339B0">
        <w:tc>
          <w:tcPr>
            <w:tcW w:w="8280" w:type="dxa"/>
            <w:gridSpan w:val="2"/>
            <w:shd w:val="clear" w:color="auto" w:fill="FFFFFF"/>
            <w:vAlign w:val="center"/>
            <w:hideMark/>
          </w:tcPr>
          <w:p w:rsidR="00B339B0" w:rsidRPr="00B339B0" w:rsidRDefault="00B339B0" w:rsidP="00B339B0">
            <w:pPr>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Пример: служащий (работник) представляет Сведения в 2023 году (за отчетный 2022 г.)</w:t>
            </w:r>
          </w:p>
        </w:tc>
      </w:tr>
      <w:tr w:rsidR="00B339B0" w:rsidRPr="00B339B0" w:rsidTr="00B339B0">
        <w:tc>
          <w:tcPr>
            <w:tcW w:w="2520" w:type="dxa"/>
            <w:shd w:val="clear" w:color="auto" w:fill="FFFFFF"/>
            <w:vAlign w:val="center"/>
            <w:hideMark/>
          </w:tcPr>
          <w:p w:rsidR="00B339B0" w:rsidRPr="00B339B0" w:rsidRDefault="00B339B0" w:rsidP="00B339B0">
            <w:pPr>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Брак был расторгнут в ЗАГСе в ноябре 2022 года</w:t>
            </w:r>
          </w:p>
        </w:tc>
        <w:tc>
          <w:tcPr>
            <w:tcW w:w="5760" w:type="dxa"/>
            <w:shd w:val="clear" w:color="auto" w:fill="FFFFFF"/>
            <w:vAlign w:val="center"/>
            <w:hideMark/>
          </w:tcPr>
          <w:p w:rsidR="00B339B0" w:rsidRPr="00B339B0" w:rsidRDefault="00B339B0" w:rsidP="00B339B0">
            <w:pPr>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Сведения в отношении бывшей супруги не представляются, поскольку по состоянию на отчетную дату (31 декабря 2022 года) служащий (работник) не состоял в браке</w:t>
            </w:r>
          </w:p>
        </w:tc>
      </w:tr>
      <w:tr w:rsidR="00B339B0" w:rsidRPr="00B339B0" w:rsidTr="00B339B0">
        <w:tc>
          <w:tcPr>
            <w:tcW w:w="2520" w:type="dxa"/>
            <w:shd w:val="clear" w:color="auto" w:fill="FFFFFF"/>
            <w:vAlign w:val="center"/>
            <w:hideMark/>
          </w:tcPr>
          <w:p w:rsidR="00B339B0" w:rsidRPr="00B339B0" w:rsidRDefault="00B339B0" w:rsidP="00B339B0">
            <w:pPr>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 xml:space="preserve">Окончательное решение о расторжении брака было принято судом 12 декабря </w:t>
            </w:r>
            <w:r w:rsidRPr="00B339B0">
              <w:rPr>
                <w:rFonts w:ascii="PT-Astra-Sans-Regular" w:eastAsia="Times New Roman" w:hAnsi="PT-Astra-Sans-Regular" w:cs="Times New Roman"/>
                <w:color w:val="252525"/>
                <w:sz w:val="19"/>
                <w:szCs w:val="19"/>
                <w:lang w:eastAsia="ru-RU"/>
              </w:rPr>
              <w:lastRenderedPageBreak/>
              <w:t>2022 года и вступило в законную силу 12 января 2023 года</w:t>
            </w:r>
          </w:p>
        </w:tc>
        <w:tc>
          <w:tcPr>
            <w:tcW w:w="5760" w:type="dxa"/>
            <w:shd w:val="clear" w:color="auto" w:fill="FFFFFF"/>
            <w:vAlign w:val="center"/>
            <w:hideMark/>
          </w:tcPr>
          <w:p w:rsidR="00B339B0" w:rsidRPr="00B339B0" w:rsidRDefault="00B339B0" w:rsidP="00B339B0">
            <w:pPr>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lastRenderedPageBreak/>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w:t>
            </w:r>
            <w:r w:rsidRPr="00B339B0">
              <w:rPr>
                <w:rFonts w:ascii="PT-Astra-Sans-Regular" w:eastAsia="Times New Roman" w:hAnsi="PT-Astra-Sans-Regular" w:cs="Times New Roman"/>
                <w:color w:val="252525"/>
                <w:sz w:val="19"/>
                <w:szCs w:val="19"/>
                <w:lang w:eastAsia="ru-RU"/>
              </w:rPr>
              <w:lastRenderedPageBreak/>
              <w:t>рассматриваемой ситуации решение о расторжении брака вступило в силу 12 января 2023 года. Таким образом, по состоянию на отчетную дату (31 декабря 2022 года) служащий (работник) считался состоявшим в браке</w:t>
            </w:r>
          </w:p>
        </w:tc>
      </w:tr>
      <w:tr w:rsidR="00B339B0" w:rsidRPr="00B339B0" w:rsidTr="00B339B0">
        <w:tc>
          <w:tcPr>
            <w:tcW w:w="2520" w:type="dxa"/>
            <w:shd w:val="clear" w:color="auto" w:fill="FFFFFF"/>
            <w:vAlign w:val="center"/>
            <w:hideMark/>
          </w:tcPr>
          <w:p w:rsidR="00B339B0" w:rsidRPr="00B339B0" w:rsidRDefault="00B339B0" w:rsidP="00B339B0">
            <w:pPr>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lastRenderedPageBreak/>
              <w:t>Брак был расторгнут в ЗАГСе в марте 2023 года</w:t>
            </w:r>
          </w:p>
        </w:tc>
        <w:tc>
          <w:tcPr>
            <w:tcW w:w="5760" w:type="dxa"/>
            <w:shd w:val="clear" w:color="auto" w:fill="FFFFFF"/>
            <w:vAlign w:val="center"/>
            <w:hideMark/>
          </w:tcPr>
          <w:p w:rsidR="00B339B0" w:rsidRPr="00B339B0" w:rsidRDefault="00B339B0" w:rsidP="00B339B0">
            <w:pPr>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Сведения в отношении бывшей супруги представляются, поскольку по состоянию на отчетную дату (31 декабря 2022 года) служащий (работник) состоял в браке</w:t>
            </w:r>
          </w:p>
        </w:tc>
      </w:tr>
      <w:tr w:rsidR="00B339B0" w:rsidRPr="00B339B0" w:rsidTr="00B339B0">
        <w:tc>
          <w:tcPr>
            <w:tcW w:w="8280" w:type="dxa"/>
            <w:gridSpan w:val="2"/>
            <w:shd w:val="clear" w:color="auto" w:fill="FFFFFF"/>
            <w:vAlign w:val="center"/>
            <w:hideMark/>
          </w:tcPr>
          <w:p w:rsidR="00B339B0" w:rsidRPr="00B339B0" w:rsidRDefault="00B339B0" w:rsidP="00B339B0">
            <w:pPr>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B339B0" w:rsidRPr="00B339B0" w:rsidTr="00B339B0">
        <w:tc>
          <w:tcPr>
            <w:tcW w:w="2520" w:type="dxa"/>
            <w:shd w:val="clear" w:color="auto" w:fill="FFFFFF"/>
            <w:vAlign w:val="center"/>
            <w:hideMark/>
          </w:tcPr>
          <w:p w:rsidR="00B339B0" w:rsidRPr="00B339B0" w:rsidRDefault="00B339B0" w:rsidP="00B339B0">
            <w:pPr>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Брак был расторгнут в ЗАГСе 1 июля 2023 года</w:t>
            </w:r>
          </w:p>
        </w:tc>
        <w:tc>
          <w:tcPr>
            <w:tcW w:w="5760" w:type="dxa"/>
            <w:shd w:val="clear" w:color="auto" w:fill="FFFFFF"/>
            <w:vAlign w:val="center"/>
            <w:hideMark/>
          </w:tcPr>
          <w:p w:rsidR="00B339B0" w:rsidRPr="00B339B0" w:rsidRDefault="00B339B0" w:rsidP="00B339B0">
            <w:pPr>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Сведения в отношении бывшей супруги не представляются, поскольку по состоянию на отчетную дату (1 августа 2023 года) гражданин не состоял в браке</w:t>
            </w:r>
          </w:p>
        </w:tc>
      </w:tr>
      <w:tr w:rsidR="00B339B0" w:rsidRPr="00B339B0" w:rsidTr="00B339B0">
        <w:tc>
          <w:tcPr>
            <w:tcW w:w="2520" w:type="dxa"/>
            <w:shd w:val="clear" w:color="auto" w:fill="FFFFFF"/>
            <w:vAlign w:val="center"/>
            <w:hideMark/>
          </w:tcPr>
          <w:p w:rsidR="00B339B0" w:rsidRPr="00B339B0" w:rsidRDefault="00B339B0" w:rsidP="00B339B0">
            <w:pPr>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Брак был расторгнут в ЗАГСе 2 августа 2023 года</w:t>
            </w:r>
          </w:p>
        </w:tc>
        <w:tc>
          <w:tcPr>
            <w:tcW w:w="5760" w:type="dxa"/>
            <w:shd w:val="clear" w:color="auto" w:fill="FFFFFF"/>
            <w:vAlign w:val="center"/>
            <w:hideMark/>
          </w:tcPr>
          <w:p w:rsidR="00B339B0" w:rsidRPr="00B339B0" w:rsidRDefault="00B339B0" w:rsidP="00B339B0">
            <w:pPr>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Сведения в отношении бывшей супруги представляются, поскольку по состоянию на отчетную дату (1 августа 2023 года) гражданин состоял в браке</w:t>
            </w:r>
          </w:p>
        </w:tc>
      </w:tr>
      <w:tr w:rsidR="00B339B0" w:rsidRPr="00B339B0" w:rsidTr="00B339B0">
        <w:tc>
          <w:tcPr>
            <w:tcW w:w="2520" w:type="dxa"/>
            <w:shd w:val="clear" w:color="auto" w:fill="FFFFFF"/>
            <w:vAlign w:val="center"/>
            <w:hideMark/>
          </w:tcPr>
          <w:p w:rsidR="00B339B0" w:rsidRPr="00B339B0" w:rsidRDefault="00B339B0" w:rsidP="00B339B0">
            <w:pPr>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Окончательное решение о расторжении брака было принято судом 4 июля 2023 года и вступило в законную силу 4 августа 2023 г.</w:t>
            </w:r>
          </w:p>
        </w:tc>
        <w:tc>
          <w:tcPr>
            <w:tcW w:w="5760" w:type="dxa"/>
            <w:shd w:val="clear" w:color="auto" w:fill="FFFFFF"/>
            <w:vAlign w:val="center"/>
            <w:hideMark/>
          </w:tcPr>
          <w:p w:rsidR="00B339B0" w:rsidRPr="00B339B0" w:rsidRDefault="00B339B0" w:rsidP="00B339B0">
            <w:pPr>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2023 года. Таким образом, по состоянию на отчетную дату (1 августа 2023 года) гражданин считался состоявшим в браке</w:t>
            </w:r>
          </w:p>
        </w:tc>
      </w:tr>
    </w:tbl>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b/>
          <w:bCs/>
          <w:color w:val="252525"/>
          <w:sz w:val="19"/>
          <w:lang w:eastAsia="ru-RU"/>
        </w:rPr>
        <w:t> </w:t>
      </w:r>
    </w:p>
    <w:p w:rsidR="00B339B0" w:rsidRPr="00B339B0" w:rsidRDefault="00B339B0" w:rsidP="00B339B0">
      <w:pPr>
        <w:numPr>
          <w:ilvl w:val="0"/>
          <w:numId w:val="26"/>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Лица, обязанные представлять Сведения в отношении своих супруг (супругов), не представляют такие Сведения, если:</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1) их супруги являются военнослужащими, сотрудниками и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2) 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3) их супруги призваны на военную службу по мобилизации в Вооруженные Силы Российской Федерации;</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4) 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В этом случае такими лицами могут быть представлены документы, подтверждающие обозначенный статус их супруг (супругов).</w:t>
      </w:r>
    </w:p>
    <w:p w:rsidR="00B339B0" w:rsidRPr="00B339B0" w:rsidRDefault="00B339B0" w:rsidP="00B339B0">
      <w:pPr>
        <w:numPr>
          <w:ilvl w:val="0"/>
          <w:numId w:val="27"/>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Непредставление Сведений в отношении своей супруги (супруга), указанной в пункте 27 настоящих Методических рекомендаций:</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1) служащим (работником) в ситуациях, предусмотренных пунктом 1 настоящих Методических рекомендаций, не требует направления и соответствующего рассмотрения заявления, предусмотренного пунктом 39 настоящих Методических рекомендаций;</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2) гражданином в ситуациях, предусмотренных пунктом 2 настоящих Методических рекомендаций, не может являться основанием для отказа в поступлении (назначении);</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3) служащим (работником) в ситуациях, предусмотренных пунктом 4 настоящих Методических рекомендаций, не может являться основанием для отказа в назначении.</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 </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b/>
          <w:bCs/>
          <w:color w:val="252525"/>
          <w:sz w:val="19"/>
          <w:lang w:eastAsia="ru-RU"/>
        </w:rPr>
        <w:t>Несовершеннолетние дети</w:t>
      </w:r>
    </w:p>
    <w:p w:rsidR="00B339B0" w:rsidRPr="00B339B0" w:rsidRDefault="00B339B0" w:rsidP="00B339B0">
      <w:pPr>
        <w:numPr>
          <w:ilvl w:val="0"/>
          <w:numId w:val="28"/>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lastRenderedPageBreak/>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B339B0" w:rsidRPr="00B339B0" w:rsidRDefault="00B339B0" w:rsidP="00B339B0">
      <w:pPr>
        <w:numPr>
          <w:ilvl w:val="0"/>
          <w:numId w:val="28"/>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 </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Перечень ситуаций и рекомендуемые действия (таблица № 3):</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 </w:t>
      </w:r>
    </w:p>
    <w:tbl>
      <w:tblPr>
        <w:tblW w:w="8280" w:type="dxa"/>
        <w:shd w:val="clear" w:color="auto" w:fill="FFFFFF"/>
        <w:tblCellMar>
          <w:top w:w="15" w:type="dxa"/>
          <w:left w:w="15" w:type="dxa"/>
          <w:bottom w:w="15" w:type="dxa"/>
          <w:right w:w="15" w:type="dxa"/>
        </w:tblCellMar>
        <w:tblLook w:val="04A0"/>
      </w:tblPr>
      <w:tblGrid>
        <w:gridCol w:w="2496"/>
        <w:gridCol w:w="5784"/>
      </w:tblGrid>
      <w:tr w:rsidR="00B339B0" w:rsidRPr="00B339B0" w:rsidTr="00B339B0">
        <w:tc>
          <w:tcPr>
            <w:tcW w:w="8280" w:type="dxa"/>
            <w:gridSpan w:val="2"/>
            <w:shd w:val="clear" w:color="auto" w:fill="FFFFFF"/>
            <w:vAlign w:val="center"/>
            <w:hideMark/>
          </w:tcPr>
          <w:p w:rsidR="00B339B0" w:rsidRPr="00B339B0" w:rsidRDefault="00B339B0" w:rsidP="00B339B0">
            <w:pPr>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Пример: служащий (работник) представляет Сведения в 2023 году (за отчетный 2022 г.)</w:t>
            </w:r>
          </w:p>
        </w:tc>
      </w:tr>
      <w:tr w:rsidR="00B339B0" w:rsidRPr="00B339B0" w:rsidTr="00B339B0">
        <w:tc>
          <w:tcPr>
            <w:tcW w:w="2496" w:type="dxa"/>
            <w:shd w:val="clear" w:color="auto" w:fill="FFFFFF"/>
            <w:vAlign w:val="center"/>
            <w:hideMark/>
          </w:tcPr>
          <w:p w:rsidR="00B339B0" w:rsidRPr="00B339B0" w:rsidRDefault="00B339B0" w:rsidP="00B339B0">
            <w:pPr>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Дочери служащего (работника) 21 мая 2022 года исполнилось 18 лет</w:t>
            </w:r>
          </w:p>
        </w:tc>
        <w:tc>
          <w:tcPr>
            <w:tcW w:w="5784" w:type="dxa"/>
            <w:shd w:val="clear" w:color="auto" w:fill="FFFFFF"/>
            <w:vAlign w:val="center"/>
            <w:hideMark/>
          </w:tcPr>
          <w:p w:rsidR="00B339B0" w:rsidRPr="00B339B0" w:rsidRDefault="00B339B0" w:rsidP="00B339B0">
            <w:pPr>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B339B0" w:rsidRPr="00B339B0" w:rsidTr="00B339B0">
        <w:tc>
          <w:tcPr>
            <w:tcW w:w="2496" w:type="dxa"/>
            <w:shd w:val="clear" w:color="auto" w:fill="FFFFFF"/>
            <w:vAlign w:val="center"/>
            <w:hideMark/>
          </w:tcPr>
          <w:p w:rsidR="00B339B0" w:rsidRPr="00B339B0" w:rsidRDefault="00B339B0" w:rsidP="00B339B0">
            <w:pPr>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Дочери служащего (работника) 30 декабря 2022 года исполнилось 18 лет</w:t>
            </w:r>
          </w:p>
        </w:tc>
        <w:tc>
          <w:tcPr>
            <w:tcW w:w="5784" w:type="dxa"/>
            <w:shd w:val="clear" w:color="auto" w:fill="FFFFFF"/>
            <w:vAlign w:val="center"/>
            <w:hideMark/>
          </w:tcPr>
          <w:p w:rsidR="00B339B0" w:rsidRPr="00B339B0" w:rsidRDefault="00B339B0" w:rsidP="00B339B0">
            <w:pPr>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B339B0" w:rsidRPr="00B339B0" w:rsidTr="00B339B0">
        <w:tc>
          <w:tcPr>
            <w:tcW w:w="2496" w:type="dxa"/>
            <w:shd w:val="clear" w:color="auto" w:fill="FFFFFF"/>
            <w:vAlign w:val="center"/>
            <w:hideMark/>
          </w:tcPr>
          <w:p w:rsidR="00B339B0" w:rsidRPr="00B339B0" w:rsidRDefault="00B339B0" w:rsidP="00B339B0">
            <w:pPr>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Дочери служащего (работника) 31 декабря 2022 года исполнилось 18 лет</w:t>
            </w:r>
          </w:p>
        </w:tc>
        <w:tc>
          <w:tcPr>
            <w:tcW w:w="5784" w:type="dxa"/>
            <w:shd w:val="clear" w:color="auto" w:fill="FFFFFF"/>
            <w:vAlign w:val="center"/>
            <w:hideMark/>
          </w:tcPr>
          <w:p w:rsidR="00B339B0" w:rsidRPr="00B339B0" w:rsidRDefault="00B339B0" w:rsidP="00B339B0">
            <w:pPr>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2023 года. Таким образом, по состоянию на отчетную дату (31 декабря 2022 года) она еще являлась несовершеннолетней</w:t>
            </w:r>
          </w:p>
        </w:tc>
      </w:tr>
      <w:tr w:rsidR="00B339B0" w:rsidRPr="00B339B0" w:rsidTr="00B339B0">
        <w:tc>
          <w:tcPr>
            <w:tcW w:w="8280" w:type="dxa"/>
            <w:gridSpan w:val="2"/>
            <w:shd w:val="clear" w:color="auto" w:fill="FFFFFF"/>
            <w:vAlign w:val="center"/>
            <w:hideMark/>
          </w:tcPr>
          <w:p w:rsidR="00B339B0" w:rsidRPr="00B339B0" w:rsidRDefault="00B339B0" w:rsidP="00B339B0">
            <w:pPr>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Пример: гражданин представляет в сентябре 2023 года Сведения в связи с назначением на должность. Отчетной датой является 1 августа 2023 года</w:t>
            </w:r>
          </w:p>
        </w:tc>
      </w:tr>
      <w:tr w:rsidR="00B339B0" w:rsidRPr="00B339B0" w:rsidTr="00B339B0">
        <w:tc>
          <w:tcPr>
            <w:tcW w:w="2496" w:type="dxa"/>
            <w:shd w:val="clear" w:color="auto" w:fill="FFFFFF"/>
            <w:vAlign w:val="center"/>
            <w:hideMark/>
          </w:tcPr>
          <w:p w:rsidR="00B339B0" w:rsidRPr="00B339B0" w:rsidRDefault="00B339B0" w:rsidP="00B339B0">
            <w:pPr>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Сыну гражданина 5 мая 2023 года исполнилось 18 лет</w:t>
            </w:r>
          </w:p>
        </w:tc>
        <w:tc>
          <w:tcPr>
            <w:tcW w:w="5784" w:type="dxa"/>
            <w:shd w:val="clear" w:color="auto" w:fill="FFFFFF"/>
            <w:vAlign w:val="center"/>
            <w:hideMark/>
          </w:tcPr>
          <w:p w:rsidR="00B339B0" w:rsidRPr="00B339B0" w:rsidRDefault="00B339B0" w:rsidP="00B339B0">
            <w:pPr>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Сведения в отношении сына не представляются, поскольку он являлся совершеннолетним и по состоянию на отчетную дату (1 августа 2023 года) сыну гражданина уже исполнилось 18 лет</w:t>
            </w:r>
          </w:p>
        </w:tc>
      </w:tr>
      <w:tr w:rsidR="00B339B0" w:rsidRPr="00B339B0" w:rsidTr="00B339B0">
        <w:tc>
          <w:tcPr>
            <w:tcW w:w="2496" w:type="dxa"/>
            <w:shd w:val="clear" w:color="auto" w:fill="FFFFFF"/>
            <w:vAlign w:val="center"/>
            <w:hideMark/>
          </w:tcPr>
          <w:p w:rsidR="00B339B0" w:rsidRPr="00B339B0" w:rsidRDefault="00B339B0" w:rsidP="00B339B0">
            <w:pPr>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Сыну гражданина 1 августа 2023 года исполнилось 18 лет</w:t>
            </w:r>
          </w:p>
        </w:tc>
        <w:tc>
          <w:tcPr>
            <w:tcW w:w="5784" w:type="dxa"/>
            <w:shd w:val="clear" w:color="auto" w:fill="FFFFFF"/>
            <w:vAlign w:val="center"/>
            <w:hideMark/>
          </w:tcPr>
          <w:p w:rsidR="00B339B0" w:rsidRPr="00B339B0" w:rsidRDefault="00B339B0" w:rsidP="00B339B0">
            <w:pPr>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2023 года. Таким образом, по состоянию на отчетную дату (1 августа 2023 года) он еще являлся несовершеннолетним</w:t>
            </w:r>
          </w:p>
        </w:tc>
      </w:tr>
      <w:tr w:rsidR="00B339B0" w:rsidRPr="00B339B0" w:rsidTr="00B339B0">
        <w:tc>
          <w:tcPr>
            <w:tcW w:w="2496" w:type="dxa"/>
            <w:shd w:val="clear" w:color="auto" w:fill="FFFFFF"/>
            <w:vAlign w:val="center"/>
            <w:hideMark/>
          </w:tcPr>
          <w:p w:rsidR="00B339B0" w:rsidRPr="00B339B0" w:rsidRDefault="00B339B0" w:rsidP="00B339B0">
            <w:pPr>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Сыну гражданина 17 августа 2023 года исполнилось 18 лет</w:t>
            </w:r>
          </w:p>
        </w:tc>
        <w:tc>
          <w:tcPr>
            <w:tcW w:w="5784" w:type="dxa"/>
            <w:shd w:val="clear" w:color="auto" w:fill="FFFFFF"/>
            <w:vAlign w:val="center"/>
            <w:hideMark/>
          </w:tcPr>
          <w:p w:rsidR="00B339B0" w:rsidRPr="00B339B0" w:rsidRDefault="00B339B0" w:rsidP="00B339B0">
            <w:pPr>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Сведения в отношении сына представляются, поскольку по состоянию на отчетную дату (1 августа 2023 года) сын гражданина являлся несовершеннолетним</w:t>
            </w:r>
          </w:p>
        </w:tc>
      </w:tr>
    </w:tbl>
    <w:p w:rsidR="00B339B0" w:rsidRPr="00B339B0" w:rsidRDefault="00B339B0" w:rsidP="00B339B0">
      <w:pPr>
        <w:numPr>
          <w:ilvl w:val="0"/>
          <w:numId w:val="29"/>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B339B0" w:rsidRPr="00B339B0" w:rsidRDefault="00B339B0" w:rsidP="00B339B0">
      <w:pPr>
        <w:numPr>
          <w:ilvl w:val="0"/>
          <w:numId w:val="29"/>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b/>
          <w:bCs/>
          <w:color w:val="252525"/>
          <w:sz w:val="19"/>
          <w:lang w:eastAsia="ru-RU"/>
        </w:rPr>
        <w:t>Уточнение представленных Сведений</w:t>
      </w:r>
    </w:p>
    <w:p w:rsidR="00B339B0" w:rsidRPr="00B339B0" w:rsidRDefault="00B339B0" w:rsidP="00B339B0">
      <w:pPr>
        <w:numPr>
          <w:ilvl w:val="0"/>
          <w:numId w:val="30"/>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B339B0" w:rsidRPr="00B339B0" w:rsidRDefault="00B339B0" w:rsidP="00B339B0">
      <w:pPr>
        <w:numPr>
          <w:ilvl w:val="0"/>
          <w:numId w:val="30"/>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B339B0" w:rsidRPr="00B339B0" w:rsidRDefault="00B339B0" w:rsidP="00B339B0">
      <w:pPr>
        <w:numPr>
          <w:ilvl w:val="0"/>
          <w:numId w:val="30"/>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rsidR="00B339B0" w:rsidRPr="00B339B0" w:rsidRDefault="00B339B0" w:rsidP="00B339B0">
      <w:pPr>
        <w:numPr>
          <w:ilvl w:val="0"/>
          <w:numId w:val="30"/>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rsidR="00B339B0" w:rsidRPr="00B339B0" w:rsidRDefault="00B339B0" w:rsidP="00B339B0">
      <w:pPr>
        <w:numPr>
          <w:ilvl w:val="0"/>
          <w:numId w:val="30"/>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 xml:space="preserve">Представление уточненных Сведений за предыдущие декларационные кампании не предусмотрено. В случае выявления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B339B0">
        <w:rPr>
          <w:rFonts w:ascii="PT-Astra-Sans-Regular" w:eastAsia="Times New Roman" w:hAnsi="PT-Astra-Sans-Regular" w:cs="Times New Roman"/>
          <w:color w:val="252525"/>
          <w:sz w:val="19"/>
          <w:szCs w:val="19"/>
          <w:lang w:eastAsia="ru-RU"/>
        </w:rPr>
        <w:lastRenderedPageBreak/>
        <w:t>служащему (работнику) рекомендуется к представляемой в 2023 году справке приложить соответствующие письменные пояснения (например, ситуации, связанные с выявлением счета в кредитной организации, отрытого в 2021 году, но не отраженного в справке, представленной в рамках декларационной кампании 2022 года).</w:t>
      </w:r>
    </w:p>
    <w:p w:rsidR="00B339B0" w:rsidRPr="00B339B0" w:rsidRDefault="00B339B0" w:rsidP="00B339B0">
      <w:pPr>
        <w:numPr>
          <w:ilvl w:val="0"/>
          <w:numId w:val="30"/>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b/>
          <w:bCs/>
          <w:color w:val="252525"/>
          <w:sz w:val="19"/>
          <w:lang w:eastAsia="ru-RU"/>
        </w:rPr>
        <w:t>Рекомендуемые действия при невозможности представить Сведения в отношении члена семьи</w:t>
      </w:r>
    </w:p>
    <w:p w:rsidR="00B339B0" w:rsidRPr="00B339B0" w:rsidRDefault="00B339B0" w:rsidP="00B339B0">
      <w:pPr>
        <w:numPr>
          <w:ilvl w:val="0"/>
          <w:numId w:val="31"/>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rsidR="00B339B0" w:rsidRPr="00B339B0" w:rsidRDefault="00B339B0" w:rsidP="00B339B0">
      <w:pPr>
        <w:numPr>
          <w:ilvl w:val="0"/>
          <w:numId w:val="31"/>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Заявление подается в порядке, установленном нормативным правовым актом органа публичной власти или актом организации.</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Заявление при наличии длящихся обстоятельств подается ежегодно. При этом подача рассматриваемого заявления не предполагает необходимость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rsidR="00B339B0" w:rsidRPr="00B339B0" w:rsidRDefault="00B339B0" w:rsidP="00B339B0">
      <w:pPr>
        <w:numPr>
          <w:ilvl w:val="0"/>
          <w:numId w:val="32"/>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Заявление должно быть направлено до истечения срока, установленного для представления служащим (работником) Сведений.</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Заявление подается (таблица № 4):</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 </w:t>
      </w:r>
    </w:p>
    <w:tbl>
      <w:tblPr>
        <w:tblW w:w="8280" w:type="dxa"/>
        <w:shd w:val="clear" w:color="auto" w:fill="FFFFFF"/>
        <w:tblCellMar>
          <w:top w:w="15" w:type="dxa"/>
          <w:left w:w="15" w:type="dxa"/>
          <w:bottom w:w="15" w:type="dxa"/>
          <w:right w:w="15" w:type="dxa"/>
        </w:tblCellMar>
        <w:tblLook w:val="04A0"/>
      </w:tblPr>
      <w:tblGrid>
        <w:gridCol w:w="2580"/>
        <w:gridCol w:w="5700"/>
      </w:tblGrid>
      <w:tr w:rsidR="00B339B0" w:rsidRPr="00B339B0" w:rsidTr="00B339B0">
        <w:tc>
          <w:tcPr>
            <w:tcW w:w="2580" w:type="dxa"/>
            <w:shd w:val="clear" w:color="auto" w:fill="FFFFFF"/>
            <w:vAlign w:val="center"/>
            <w:hideMark/>
          </w:tcPr>
          <w:p w:rsidR="00B339B0" w:rsidRPr="00B339B0" w:rsidRDefault="00B339B0" w:rsidP="00B339B0">
            <w:pPr>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В Управление Президента Российской Федерации по вопросам противодействия коррупции</w:t>
            </w:r>
          </w:p>
        </w:tc>
        <w:tc>
          <w:tcPr>
            <w:tcW w:w="5700" w:type="dxa"/>
            <w:shd w:val="clear" w:color="auto" w:fill="FFFFFF"/>
            <w:vAlign w:val="center"/>
            <w:hideMark/>
          </w:tcPr>
          <w:p w:rsidR="00B339B0" w:rsidRPr="00B339B0" w:rsidRDefault="00B339B0" w:rsidP="00B339B0">
            <w:pPr>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39B0" w:rsidRPr="00B339B0" w:rsidTr="00B339B0">
        <w:tc>
          <w:tcPr>
            <w:tcW w:w="2580" w:type="dxa"/>
            <w:shd w:val="clear" w:color="auto" w:fill="FFFFFF"/>
            <w:vAlign w:val="center"/>
            <w:hideMark/>
          </w:tcPr>
          <w:p w:rsidR="00B339B0" w:rsidRPr="00B339B0" w:rsidRDefault="00B339B0" w:rsidP="00B339B0">
            <w:pPr>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В Департамент кадров Правительства Российской Федерации</w:t>
            </w:r>
          </w:p>
        </w:tc>
        <w:tc>
          <w:tcPr>
            <w:tcW w:w="5700" w:type="dxa"/>
            <w:shd w:val="clear" w:color="auto" w:fill="FFFFFF"/>
            <w:vAlign w:val="center"/>
            <w:hideMark/>
          </w:tcPr>
          <w:p w:rsidR="00B339B0" w:rsidRPr="00B339B0" w:rsidRDefault="00B339B0" w:rsidP="00B339B0">
            <w:pPr>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 xml:space="preserve">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w:t>
            </w:r>
            <w:r w:rsidRPr="00B339B0">
              <w:rPr>
                <w:rFonts w:ascii="PT-Astra-Sans-Regular" w:eastAsia="Times New Roman" w:hAnsi="PT-Astra-Sans-Regular" w:cs="Times New Roman"/>
                <w:color w:val="252525"/>
                <w:sz w:val="19"/>
                <w:szCs w:val="19"/>
                <w:lang w:eastAsia="ru-RU"/>
              </w:rPr>
              <w:lastRenderedPageBreak/>
              <w:t>государственными органами, назначение на которые и освобождение от которых осуществляются Правительством Российской Федерации</w:t>
            </w:r>
          </w:p>
        </w:tc>
      </w:tr>
      <w:tr w:rsidR="00B339B0" w:rsidRPr="00B339B0" w:rsidTr="00B339B0">
        <w:tc>
          <w:tcPr>
            <w:tcW w:w="2580" w:type="dxa"/>
            <w:shd w:val="clear" w:color="auto" w:fill="FFFFFF"/>
            <w:vAlign w:val="center"/>
            <w:hideMark/>
          </w:tcPr>
          <w:p w:rsidR="00B339B0" w:rsidRPr="00B339B0" w:rsidRDefault="00B339B0" w:rsidP="00B339B0">
            <w:pPr>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lastRenderedPageBreak/>
              <w:t>В подразделение кадровой службы федерального государственного органа по профилактике коррупционных и иных правонарушений</w:t>
            </w:r>
          </w:p>
          <w:p w:rsidR="00B339B0" w:rsidRPr="00B339B0" w:rsidRDefault="00B339B0" w:rsidP="00B339B0">
            <w:pPr>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5700" w:type="dxa"/>
            <w:shd w:val="clear" w:color="auto" w:fill="FFFFFF"/>
            <w:vAlign w:val="center"/>
            <w:hideMark/>
          </w:tcPr>
          <w:p w:rsidR="00B339B0" w:rsidRPr="00B339B0" w:rsidRDefault="00B339B0" w:rsidP="00B339B0">
            <w:pPr>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w:t>
            </w:r>
          </w:p>
        </w:tc>
      </w:tr>
      <w:tr w:rsidR="00B339B0" w:rsidRPr="00B339B0" w:rsidTr="00B339B0">
        <w:tc>
          <w:tcPr>
            <w:tcW w:w="2580" w:type="dxa"/>
            <w:shd w:val="clear" w:color="auto" w:fill="FFFFFF"/>
            <w:vAlign w:val="center"/>
            <w:hideMark/>
          </w:tcPr>
          <w:p w:rsidR="00B339B0" w:rsidRPr="00B339B0" w:rsidRDefault="00B339B0" w:rsidP="00B339B0">
            <w:pPr>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В подразделение по профилактике коррупционных и иных правонарушений государственного внебюджетного фонда, государственной корпорации (компании, публично-правовой компании), иной организации, созданной на основании федерального закона</w:t>
            </w:r>
          </w:p>
        </w:tc>
        <w:tc>
          <w:tcPr>
            <w:tcW w:w="5700" w:type="dxa"/>
            <w:shd w:val="clear" w:color="auto" w:fill="FFFFFF"/>
            <w:vAlign w:val="center"/>
            <w:hideMark/>
          </w:tcPr>
          <w:p w:rsidR="00B339B0" w:rsidRPr="00B339B0" w:rsidRDefault="00B339B0" w:rsidP="00B339B0">
            <w:pPr>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B339B0" w:rsidRPr="00B339B0" w:rsidTr="00B339B0">
        <w:tc>
          <w:tcPr>
            <w:tcW w:w="2580" w:type="dxa"/>
            <w:shd w:val="clear" w:color="auto" w:fill="FFFFFF"/>
            <w:vAlign w:val="center"/>
            <w:hideMark/>
          </w:tcPr>
          <w:p w:rsidR="00B339B0" w:rsidRPr="00B339B0" w:rsidRDefault="00B339B0" w:rsidP="00B339B0">
            <w:pPr>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В подразделение по профилактике коррупционных и иных правонарушений Центрального банка Российской Федерации</w:t>
            </w:r>
          </w:p>
        </w:tc>
        <w:tc>
          <w:tcPr>
            <w:tcW w:w="5700" w:type="dxa"/>
            <w:shd w:val="clear" w:color="auto" w:fill="FFFFFF"/>
            <w:vAlign w:val="center"/>
            <w:hideMark/>
          </w:tcPr>
          <w:p w:rsidR="00B339B0" w:rsidRPr="00B339B0" w:rsidRDefault="00B339B0" w:rsidP="00B339B0">
            <w:pPr>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лицами, занимающими должности, включенные в перечень, утвержденный Советом директоров Центрального банка Российской Федерации</w:t>
            </w:r>
          </w:p>
        </w:tc>
      </w:tr>
      <w:tr w:rsidR="00B339B0" w:rsidRPr="00B339B0" w:rsidTr="00B339B0">
        <w:tc>
          <w:tcPr>
            <w:tcW w:w="2580" w:type="dxa"/>
            <w:shd w:val="clear" w:color="auto" w:fill="FFFFFF"/>
            <w:vAlign w:val="center"/>
            <w:hideMark/>
          </w:tcPr>
          <w:p w:rsidR="00B339B0" w:rsidRPr="00B339B0" w:rsidRDefault="00B339B0" w:rsidP="00B339B0">
            <w:pPr>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5700" w:type="dxa"/>
            <w:shd w:val="clear" w:color="auto" w:fill="FFFFFF"/>
            <w:vAlign w:val="center"/>
            <w:hideMark/>
          </w:tcPr>
          <w:p w:rsidR="00B339B0" w:rsidRPr="00B339B0" w:rsidRDefault="00B339B0" w:rsidP="00B339B0">
            <w:pPr>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 </w:t>
      </w:r>
    </w:p>
    <w:p w:rsidR="00B339B0" w:rsidRPr="00B339B0" w:rsidRDefault="00B339B0" w:rsidP="00B339B0">
      <w:pPr>
        <w:numPr>
          <w:ilvl w:val="0"/>
          <w:numId w:val="33"/>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Для служащих (работников) право направить заявление о невозможности представить сведения о </w:t>
      </w:r>
      <w:r w:rsidRPr="00B339B0">
        <w:rPr>
          <w:rFonts w:ascii="PT-Astra-Sans-Regular" w:eastAsia="Times New Roman" w:hAnsi="PT-Astra-Sans-Regular" w:cs="Times New Roman"/>
          <w:b/>
          <w:bCs/>
          <w:color w:val="252525"/>
          <w:sz w:val="19"/>
          <w:lang w:eastAsia="ru-RU"/>
        </w:rPr>
        <w:t>своих</w:t>
      </w:r>
      <w:r w:rsidRPr="00B339B0">
        <w:rPr>
          <w:rFonts w:ascii="PT-Astra-Sans-Regular" w:eastAsia="Times New Roman" w:hAnsi="PT-Astra-Sans-Regular" w:cs="Times New Roman"/>
          <w:color w:val="252525"/>
          <w:sz w:val="19"/>
          <w:szCs w:val="19"/>
          <w:lang w:eastAsia="ru-RU"/>
        </w:rPr>
        <w:t> доходах, расходах, об имуществе и обязательствах имущественного характера законодательством не предусмотрено.</w:t>
      </w:r>
    </w:p>
    <w:p w:rsidR="00B339B0" w:rsidRPr="00B339B0" w:rsidRDefault="00B339B0" w:rsidP="00B339B0">
      <w:pPr>
        <w:numPr>
          <w:ilvl w:val="0"/>
          <w:numId w:val="33"/>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p>
    <w:p w:rsidR="00B339B0" w:rsidRPr="00B339B0" w:rsidRDefault="00B339B0" w:rsidP="00B339B0">
      <w:pPr>
        <w:numPr>
          <w:ilvl w:val="0"/>
          <w:numId w:val="33"/>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Вопросы подачи лицом, замещающим муниципальную должность депутата представительного органа сельского поселения и осуществляющим свои полномочия на непостоянной основе, заявления о невозможности сообщить высшему должностному лицу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регулируются законом субъекта Российской Федерации.</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Вопросы подачи руководителем государственного учреждения субъекта Российской Федерации или руководителем муниципального учреждения заявления о невозможности представить Сведения в отношении супруги (супруга) или несовершеннолетних детей регулируются нормативным правовым актом субъекта Российской Федерации и муниципальным правовым актом соответственно.</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 </w:t>
      </w:r>
    </w:p>
    <w:p w:rsidR="00B339B0" w:rsidRPr="00B339B0" w:rsidRDefault="00B339B0" w:rsidP="00B339B0">
      <w:pPr>
        <w:numPr>
          <w:ilvl w:val="0"/>
          <w:numId w:val="34"/>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b/>
          <w:bCs/>
          <w:color w:val="252525"/>
          <w:sz w:val="19"/>
          <w:lang w:eastAsia="ru-RU"/>
        </w:rPr>
        <w:t>II. Заполнение справки о доходах, расходах, об имуществе и обязательствах имущественного характера</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b/>
          <w:bCs/>
          <w:color w:val="252525"/>
          <w:sz w:val="19"/>
          <w:lang w:eastAsia="ru-RU"/>
        </w:rPr>
        <w:t> </w:t>
      </w:r>
    </w:p>
    <w:p w:rsidR="00B339B0" w:rsidRPr="00B339B0" w:rsidRDefault="00B339B0" w:rsidP="00B339B0">
      <w:pPr>
        <w:numPr>
          <w:ilvl w:val="0"/>
          <w:numId w:val="35"/>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lastRenderedPageBreak/>
        <w:t>Форма справки является унифицированной для всех лиц, на которых распространяется обязанность представлять Сведения.</w:t>
      </w:r>
    </w:p>
    <w:p w:rsidR="00B339B0" w:rsidRPr="00B339B0" w:rsidRDefault="00B339B0" w:rsidP="00B339B0">
      <w:pPr>
        <w:numPr>
          <w:ilvl w:val="0"/>
          <w:numId w:val="35"/>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К справке могут быть приложены любые документы, в том числе пояснения служащего (работника). При этом разделами 2 и 4 справки предусмотрены случаи, при которых к справке в обязательном порядке прилагаются соответствующие документы. В иных случаях приложение является правом служащего (работника).</w:t>
      </w:r>
    </w:p>
    <w:p w:rsidR="00B339B0" w:rsidRPr="00B339B0" w:rsidRDefault="00B339B0" w:rsidP="00B339B0">
      <w:pPr>
        <w:numPr>
          <w:ilvl w:val="0"/>
          <w:numId w:val="36"/>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Справка заполняется с использованием актуальной на дату представления Сведений 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При печати справки формируются зоны со служебной информацией (штриховые коды и т.п.), нанесение каких-либо пометок на которые не допускается.</w:t>
      </w:r>
    </w:p>
    <w:p w:rsidR="00B339B0" w:rsidRPr="00B339B0" w:rsidRDefault="00B339B0" w:rsidP="00B339B0">
      <w:pPr>
        <w:numPr>
          <w:ilvl w:val="0"/>
          <w:numId w:val="37"/>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СПО "Справки БК" размещено на официальном сайте Президента Российской Федерации (</w:t>
      </w:r>
      <w:hyperlink r:id="rId12" w:history="1">
        <w:r w:rsidRPr="00B339B0">
          <w:rPr>
            <w:rFonts w:ascii="PT-Astra-Sans-Regular" w:eastAsia="Times New Roman" w:hAnsi="PT-Astra-Sans-Regular" w:cs="Times New Roman"/>
            <w:color w:val="0345BF"/>
            <w:sz w:val="19"/>
            <w:lang w:eastAsia="ru-RU"/>
          </w:rPr>
          <w:t>http://www.kremlin.ru/structure/additional/12</w:t>
        </w:r>
      </w:hyperlink>
      <w:r w:rsidRPr="00B339B0">
        <w:rPr>
          <w:rFonts w:ascii="PT-Astra-Sans-Regular" w:eastAsia="Times New Roman" w:hAnsi="PT-Astra-Sans-Regular" w:cs="Times New Roman"/>
          <w:color w:val="252525"/>
          <w:sz w:val="19"/>
          <w:szCs w:val="19"/>
          <w:lang w:eastAsia="ru-RU"/>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3" w:history="1">
        <w:r w:rsidRPr="00B339B0">
          <w:rPr>
            <w:rFonts w:ascii="PT-Astra-Sans-Regular" w:eastAsia="Times New Roman" w:hAnsi="PT-Astra-Sans-Regular" w:cs="Times New Roman"/>
            <w:color w:val="0345BF"/>
            <w:sz w:val="19"/>
            <w:lang w:eastAsia="ru-RU"/>
          </w:rPr>
          <w:t>https://gossluzhba.gov.ru/anticorruption/spravki_bk</w:t>
        </w:r>
      </w:hyperlink>
      <w:r w:rsidRPr="00B339B0">
        <w:rPr>
          <w:rFonts w:ascii="PT-Astra-Sans-Regular" w:eastAsia="Times New Roman" w:hAnsi="PT-Astra-Sans-Regular" w:cs="Times New Roman"/>
          <w:color w:val="252525"/>
          <w:sz w:val="19"/>
          <w:szCs w:val="19"/>
          <w:lang w:eastAsia="ru-RU"/>
        </w:rPr>
        <w:t>).</w:t>
      </w:r>
    </w:p>
    <w:p w:rsidR="00B339B0" w:rsidRPr="00B339B0" w:rsidRDefault="00B339B0" w:rsidP="00B339B0">
      <w:pPr>
        <w:numPr>
          <w:ilvl w:val="0"/>
          <w:numId w:val="37"/>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При заполнении справок с использованием СПО "Справки БК" личной подписью заверяется только последний лист справки. Наличие подписи на каждом листе (в пустой части страницы) не является нарушением. Лицу, представляющему справки, рекомендуется распечатать и подписать справки в течение одного дня (одной датой).</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 для печати справок используется лазерный принтер, обеспечивающий качественную печать;</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 не допускаются дефекты печати в виде полос, пятен (при дефектах барабана или картриджа принтера);</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отведенном месте.);</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 не допускаются рукописные правки.</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Справки не следует прошивать и фиксировать скрепкой.</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Печатать справки рекомендуется только на одной стороне листа.</w:t>
      </w:r>
    </w:p>
    <w:p w:rsidR="00B339B0" w:rsidRPr="00B339B0" w:rsidRDefault="00B339B0" w:rsidP="00B339B0">
      <w:pPr>
        <w:numPr>
          <w:ilvl w:val="0"/>
          <w:numId w:val="38"/>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В справке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w:t>
      </w:r>
      <w:hyperlink r:id="rId14" w:history="1">
        <w:r w:rsidRPr="00B339B0">
          <w:rPr>
            <w:rFonts w:ascii="PT-Astra-Sans-Regular" w:eastAsia="Times New Roman" w:hAnsi="PT-Astra-Sans-Regular" w:cs="Times New Roman"/>
            <w:color w:val="0345BF"/>
            <w:sz w:val="19"/>
            <w:lang w:eastAsia="ru-RU"/>
          </w:rPr>
          <w:t>https://www.cbr.ru/currency_base/daily/</w:t>
        </w:r>
      </w:hyperlink>
      <w:r w:rsidRPr="00B339B0">
        <w:rPr>
          <w:rFonts w:ascii="PT-Astra-Sans-Regular" w:eastAsia="Times New Roman" w:hAnsi="PT-Astra-Sans-Regular" w:cs="Times New Roman"/>
          <w:color w:val="252525"/>
          <w:sz w:val="19"/>
          <w:szCs w:val="19"/>
          <w:lang w:eastAsia="ru-RU"/>
        </w:rPr>
        <w:t>. Если Банком России не установлен официальный курс валюты, то допускается использование данных из официальных источников в информационно-</w:t>
      </w:r>
      <w:r w:rsidRPr="00B339B0">
        <w:rPr>
          <w:rFonts w:ascii="PT-Astra-Sans-Regular" w:eastAsia="Times New Roman" w:hAnsi="PT-Astra-Sans-Regular" w:cs="Times New Roman"/>
          <w:color w:val="252525"/>
          <w:sz w:val="19"/>
          <w:szCs w:val="19"/>
          <w:lang w:eastAsia="ru-RU"/>
        </w:rPr>
        <w:lastRenderedPageBreak/>
        <w:t>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b/>
          <w:bCs/>
          <w:color w:val="252525"/>
          <w:sz w:val="19"/>
          <w:lang w:eastAsia="ru-RU"/>
        </w:rPr>
        <w:t> </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b/>
          <w:bCs/>
          <w:color w:val="252525"/>
          <w:sz w:val="19"/>
          <w:lang w:eastAsia="ru-RU"/>
        </w:rPr>
        <w:t>ТИТУЛЬНЫЙ ЛИСТ</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b/>
          <w:bCs/>
          <w:color w:val="252525"/>
          <w:sz w:val="19"/>
          <w:lang w:eastAsia="ru-RU"/>
        </w:rPr>
        <w:t> </w:t>
      </w:r>
    </w:p>
    <w:p w:rsidR="00B339B0" w:rsidRPr="00B339B0" w:rsidRDefault="00B339B0" w:rsidP="00B339B0">
      <w:pPr>
        <w:numPr>
          <w:ilvl w:val="0"/>
          <w:numId w:val="39"/>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При заполнении титульного листа справки рекомендуется обратить внимание на следующее:</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1) фамилия, имя и отчество (при наличии) гражданина, служащего (работника), представляющего Сведения, его супруги и несовершеннолетнего ребенка указываются (в именительном падеже) полностью, без сокращений в соответствии с документом, удостоверяющим личность, по состоянию на дату представления справки (реквизиты удостоверяющего личность документа указываются по состоянию на дату представления справки). Серия свидетельства о рождении указывается по формату: римские цифры – в латинской раскладке клавиатуры, русские буквы – в русской;</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2) дата рождения (год рождения) указывается в соответствии с записью в документе, удостоверяющем личность;</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(с 1 января по 1 (30) апреля года, следующего за отчетным)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или "находится на домашнем воспитании".</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 или "домохозяйка" ("домохозяин").</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Лицу, осуществляющему уход за нетрудоспособными гражданами, в рассматриваемой графе рекомендуется указывать "осуществляющий уход за нетрудоспособным гражданином".</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Представление депутатом представительного органа сельского поселения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5) при наличии на отчетную дату нескольких мест работы на титульном листе справки обязательно указывается основное место работы, т.е. организация, в которой находится трудовая книжка. При этом рекомендуется указать и иные места работы.</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lastRenderedPageBreak/>
        <w:t>При заполнении справки лица, зарегистрированного в качестве индивидуального предпринимателя, рекомендуется указывать соответствующий статус.</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При заполнении справки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6) адрес места регистрации указывается по состоянию на дату представления справки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 </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b/>
          <w:bCs/>
          <w:color w:val="252525"/>
          <w:sz w:val="19"/>
          <w:lang w:eastAsia="ru-RU"/>
        </w:rPr>
        <w:t>РАЗДЕЛ 1. СВЕДЕНИЯ О ДОХОДАХ</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b/>
          <w:bCs/>
          <w:color w:val="252525"/>
          <w:sz w:val="19"/>
          <w:lang w:eastAsia="ru-RU"/>
        </w:rPr>
        <w:t> </w:t>
      </w:r>
    </w:p>
    <w:p w:rsidR="00B339B0" w:rsidRPr="00B339B0" w:rsidRDefault="00B339B0" w:rsidP="00B339B0">
      <w:pPr>
        <w:numPr>
          <w:ilvl w:val="0"/>
          <w:numId w:val="40"/>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B339B0" w:rsidRPr="00B339B0" w:rsidRDefault="00B339B0" w:rsidP="00B339B0">
      <w:pPr>
        <w:numPr>
          <w:ilvl w:val="0"/>
          <w:numId w:val="40"/>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При определении необходимости отражения денежных средств, полученных от реализации товаров, выполнения работ, оказания услуг, необходимо устанавливать первичного собственника денежных средств, а не последующее решение о распоряжении ими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дальнего родственника служащего (работника), то денежные средства подлежат отражению в рассматриваемом разделе справки служащего (работника)).</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b/>
          <w:bCs/>
          <w:color w:val="252525"/>
          <w:sz w:val="19"/>
          <w:lang w:eastAsia="ru-RU"/>
        </w:rPr>
        <w:t>Доход по основному месту работы</w:t>
      </w:r>
    </w:p>
    <w:p w:rsidR="00B339B0" w:rsidRPr="00B339B0" w:rsidRDefault="00B339B0" w:rsidP="00B339B0">
      <w:pPr>
        <w:numPr>
          <w:ilvl w:val="0"/>
          <w:numId w:val="41"/>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форме 6-НДФЛ, выдаваемой по месту службы (работы) (графа "Общая сумма дохода"). Если по основному месту работы получен доход, который не включен в справку по форме 6-НДФЛ, он подлежит указанию в иных доходах.</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Служащий (работник) может представить пояснения, если его доходы, указанные в разделе 1 справки и в справке по форме 6-НДФЛ отличаются, и приложить их к справке.</w:t>
      </w:r>
    </w:p>
    <w:p w:rsidR="00B339B0" w:rsidRPr="00B339B0" w:rsidRDefault="00B339B0" w:rsidP="00B339B0">
      <w:pPr>
        <w:numPr>
          <w:ilvl w:val="0"/>
          <w:numId w:val="42"/>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b/>
          <w:bCs/>
          <w:color w:val="252525"/>
          <w:sz w:val="19"/>
          <w:lang w:eastAsia="ru-RU"/>
        </w:rPr>
        <w:t>Особенности заполнения данного раздела отдельными категориями лиц</w:t>
      </w:r>
    </w:p>
    <w:p w:rsidR="00B339B0" w:rsidRPr="00B339B0" w:rsidRDefault="00B339B0" w:rsidP="00B339B0">
      <w:pPr>
        <w:numPr>
          <w:ilvl w:val="0"/>
          <w:numId w:val="43"/>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lastRenderedPageBreak/>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B339B0" w:rsidRPr="00B339B0" w:rsidRDefault="00B339B0" w:rsidP="00B339B0">
      <w:pPr>
        <w:numPr>
          <w:ilvl w:val="0"/>
          <w:numId w:val="44"/>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rsidR="00B339B0" w:rsidRPr="00B339B0" w:rsidRDefault="00B339B0" w:rsidP="00B339B0">
      <w:pPr>
        <w:numPr>
          <w:ilvl w:val="0"/>
          <w:numId w:val="44"/>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B339B0" w:rsidRPr="00B339B0" w:rsidRDefault="00B339B0" w:rsidP="00B339B0">
      <w:pPr>
        <w:numPr>
          <w:ilvl w:val="0"/>
          <w:numId w:val="44"/>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определен в том числе с использованием мобильного приложения "Мой налог". Особенности применения данного режима служащими содержатся в письме Минтруда России от 19 апреля 2021 г. № 28-6/10/В-4623 (</w:t>
      </w:r>
      <w:hyperlink r:id="rId15" w:history="1">
        <w:r w:rsidRPr="00B339B0">
          <w:rPr>
            <w:rFonts w:ascii="PT-Astra-Sans-Regular" w:eastAsia="Times New Roman" w:hAnsi="PT-Astra-Sans-Regular" w:cs="Times New Roman"/>
            <w:color w:val="0345BF"/>
            <w:sz w:val="19"/>
            <w:lang w:eastAsia="ru-RU"/>
          </w:rPr>
          <w:t>https://mintrud.gov.ru/docs/1872</w:t>
        </w:r>
      </w:hyperlink>
      <w:r w:rsidRPr="00B339B0">
        <w:rPr>
          <w:rFonts w:ascii="PT-Astra-Sans-Regular" w:eastAsia="Times New Roman" w:hAnsi="PT-Astra-Sans-Regular" w:cs="Times New Roman"/>
          <w:color w:val="252525"/>
          <w:sz w:val="19"/>
          <w:szCs w:val="19"/>
          <w:lang w:eastAsia="ru-RU"/>
        </w:rPr>
        <w:t>).</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b/>
          <w:bCs/>
          <w:color w:val="252525"/>
          <w:sz w:val="19"/>
          <w:lang w:eastAsia="ru-RU"/>
        </w:rPr>
        <w:t>Доход от педагогической и научной деятельности</w:t>
      </w:r>
    </w:p>
    <w:p w:rsidR="00B339B0" w:rsidRPr="00B339B0" w:rsidRDefault="00B339B0" w:rsidP="00B339B0">
      <w:pPr>
        <w:numPr>
          <w:ilvl w:val="0"/>
          <w:numId w:val="45"/>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В данной строке указывается сумма дохода от педагогической деятельности (сумма дохода, содержащаяся в справке по форме 6-НДФЛ,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B339B0" w:rsidRPr="00B339B0" w:rsidRDefault="00B339B0" w:rsidP="00B339B0">
      <w:pPr>
        <w:numPr>
          <w:ilvl w:val="0"/>
          <w:numId w:val="45"/>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b/>
          <w:bCs/>
          <w:color w:val="252525"/>
          <w:sz w:val="19"/>
          <w:lang w:eastAsia="ru-RU"/>
        </w:rPr>
        <w:t>Доход от иной творческой деятельности</w:t>
      </w:r>
    </w:p>
    <w:p w:rsidR="00B339B0" w:rsidRPr="00B339B0" w:rsidRDefault="00B339B0" w:rsidP="00B339B0">
      <w:pPr>
        <w:numPr>
          <w:ilvl w:val="0"/>
          <w:numId w:val="46"/>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B339B0" w:rsidRPr="00B339B0" w:rsidRDefault="00B339B0" w:rsidP="00B339B0">
      <w:pPr>
        <w:numPr>
          <w:ilvl w:val="0"/>
          <w:numId w:val="46"/>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b/>
          <w:bCs/>
          <w:color w:val="252525"/>
          <w:sz w:val="19"/>
          <w:lang w:eastAsia="ru-RU"/>
        </w:rPr>
        <w:t>Доход от вкладов в банках и иных кредитных организациях</w:t>
      </w:r>
    </w:p>
    <w:p w:rsidR="00B339B0" w:rsidRPr="00B339B0" w:rsidRDefault="00B339B0" w:rsidP="00B339B0">
      <w:pPr>
        <w:numPr>
          <w:ilvl w:val="0"/>
          <w:numId w:val="47"/>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B339B0" w:rsidRPr="00B339B0" w:rsidRDefault="00B339B0" w:rsidP="00B339B0">
      <w:pPr>
        <w:numPr>
          <w:ilvl w:val="0"/>
          <w:numId w:val="47"/>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Сведения о наличии соответствующих банковских счетов и вкладов указываются в разделе 4 справки.</w:t>
      </w:r>
    </w:p>
    <w:p w:rsidR="00B339B0" w:rsidRPr="00B339B0" w:rsidRDefault="00B339B0" w:rsidP="00B339B0">
      <w:pPr>
        <w:numPr>
          <w:ilvl w:val="0"/>
          <w:numId w:val="47"/>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Доход, полученный в иностранной валюте, указывается в рублях по курсу Банка России на дату получения дохода (с учетом положений пункта 50 настоящих Методических рекомендаций).</w:t>
      </w:r>
    </w:p>
    <w:p w:rsidR="00B339B0" w:rsidRPr="00B339B0" w:rsidRDefault="00B339B0" w:rsidP="00B339B0">
      <w:pPr>
        <w:numPr>
          <w:ilvl w:val="0"/>
          <w:numId w:val="47"/>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p>
    <w:p w:rsidR="00B339B0" w:rsidRPr="00B339B0" w:rsidRDefault="00B339B0" w:rsidP="00B339B0">
      <w:pPr>
        <w:numPr>
          <w:ilvl w:val="0"/>
          <w:numId w:val="47"/>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 (с учетом положений пункта 50 настоящих Методических рекомендаций).</w:t>
      </w:r>
    </w:p>
    <w:p w:rsidR="00B339B0" w:rsidRPr="00B339B0" w:rsidRDefault="00B339B0" w:rsidP="00B339B0">
      <w:pPr>
        <w:numPr>
          <w:ilvl w:val="0"/>
          <w:numId w:val="47"/>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w:t>
      </w:r>
    </w:p>
    <w:p w:rsidR="00B339B0" w:rsidRPr="00B339B0" w:rsidRDefault="00B339B0" w:rsidP="00B339B0">
      <w:pPr>
        <w:numPr>
          <w:ilvl w:val="0"/>
          <w:numId w:val="47"/>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lastRenderedPageBreak/>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B339B0" w:rsidRPr="00B339B0" w:rsidRDefault="00B339B0" w:rsidP="00B339B0">
      <w:pPr>
        <w:numPr>
          <w:ilvl w:val="0"/>
          <w:numId w:val="47"/>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b/>
          <w:bCs/>
          <w:color w:val="252525"/>
          <w:sz w:val="19"/>
          <w:lang w:eastAsia="ru-RU"/>
        </w:rPr>
        <w:t>Доход от ценных бумаг и долей участия в коммерческих организациях</w:t>
      </w:r>
    </w:p>
    <w:p w:rsidR="00B339B0" w:rsidRPr="00B339B0" w:rsidRDefault="00B339B0" w:rsidP="00B339B0">
      <w:pPr>
        <w:numPr>
          <w:ilvl w:val="0"/>
          <w:numId w:val="48"/>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2) выплаченный купонный доход по облигациям, уменьшенный на уплаченный накопленный купонный доход при приобретении облигации (если в соответствии с требованиями Налогового кодекса Российской Федерации он не должен учитываться при расчете финансового результата в соответствии со статьей 214.1 Налогового кодекса Российской Федерации);</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3) дисконт, полученный в качестве дохода по облигациям;</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4) доход от операций с ценными бумагами, в том числе доход от погашения (продажи) сберегательных сертификатов и погашения (продажи) облигаций, 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которые выражаются в величине суммы финансового результата, определяемого в порядке и сроки, предусмотренные главой 23 Налогового кодекса Российской Федерации.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Доход от ценных бумаг и долей участия в коммерческих организациях указывается единым значением по совокупности соответствующих операций.</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b/>
          <w:bCs/>
          <w:color w:val="252525"/>
          <w:sz w:val="19"/>
          <w:lang w:eastAsia="ru-RU"/>
        </w:rPr>
        <w:t>Иные доходы</w:t>
      </w:r>
    </w:p>
    <w:p w:rsidR="00B339B0" w:rsidRPr="00B339B0" w:rsidRDefault="00B339B0" w:rsidP="00B339B0">
      <w:pPr>
        <w:numPr>
          <w:ilvl w:val="0"/>
          <w:numId w:val="49"/>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В данной строке указываются доходы, которые не были отражены в строках 1-5 справки.</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Так, например, в строке иные доходы могут быть указаны:</w:t>
      </w:r>
    </w:p>
    <w:p w:rsidR="00B339B0" w:rsidRPr="00B339B0" w:rsidRDefault="00B339B0" w:rsidP="00B339B0">
      <w:pPr>
        <w:numPr>
          <w:ilvl w:val="0"/>
          <w:numId w:val="50"/>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государственная и негосударственная пенсии (при этом разные виды пенсий (по возрасту и пенсия военнослужащего) не следует суммировать);</w:t>
      </w:r>
    </w:p>
    <w:p w:rsidR="00B339B0" w:rsidRPr="00B339B0" w:rsidRDefault="00B339B0" w:rsidP="00B339B0">
      <w:pPr>
        <w:numPr>
          <w:ilvl w:val="0"/>
          <w:numId w:val="50"/>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w:t>
      </w:r>
    </w:p>
    <w:p w:rsidR="00B339B0" w:rsidRPr="00B339B0" w:rsidRDefault="00B339B0" w:rsidP="00B339B0">
      <w:pPr>
        <w:numPr>
          <w:ilvl w:val="0"/>
          <w:numId w:val="50"/>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все виды пособий (пособие 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 и др.), если данные выплаты не были включены в справку по форме 6-НДФЛ, выдаваемую по месту службы (работы).</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"Об обязательном социальном страховании на случай временной нетрудоспособности и в связи с материнством"). Денежные средства, полученные в рамках указанного пособия, отражаются без вычета налога </w:t>
      </w:r>
      <w:r w:rsidRPr="00B339B0">
        <w:rPr>
          <w:rFonts w:ascii="PT-Astra-Sans-Regular" w:eastAsia="Times New Roman" w:hAnsi="PT-Astra-Sans-Regular" w:cs="Times New Roman"/>
          <w:color w:val="252525"/>
          <w:sz w:val="19"/>
          <w:szCs w:val="19"/>
          <w:lang w:eastAsia="ru-RU"/>
        </w:rPr>
        <w:lastRenderedPageBreak/>
        <w:t>на доходы физических лиц (в этой связи информацию рекомендуется получать из Личного кабинета налогоплательщика);</w:t>
      </w:r>
    </w:p>
    <w:p w:rsidR="00B339B0" w:rsidRPr="00B339B0" w:rsidRDefault="00B339B0" w:rsidP="00B339B0">
      <w:pPr>
        <w:numPr>
          <w:ilvl w:val="0"/>
          <w:numId w:val="51"/>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B339B0" w:rsidRPr="00B339B0" w:rsidRDefault="00B339B0" w:rsidP="00B339B0">
      <w:pPr>
        <w:numPr>
          <w:ilvl w:val="0"/>
          <w:numId w:val="51"/>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суммы, причитающиеся ребенку в качестве алиментов (за исключением алиментов, выплачиваемых в браке, кроме случая, предусмотренного пунктом 39 Методических рекомендаций – при невозможности по объективным причинам представить Сведения на супругу (супруга) и (или) несовершеннолетних детей),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справки;</w:t>
      </w:r>
    </w:p>
    <w:p w:rsidR="00B339B0" w:rsidRPr="00B339B0" w:rsidRDefault="00B339B0" w:rsidP="00B339B0">
      <w:pPr>
        <w:numPr>
          <w:ilvl w:val="0"/>
          <w:numId w:val="51"/>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стипендия;</w:t>
      </w:r>
    </w:p>
    <w:p w:rsidR="00B339B0" w:rsidRPr="00B339B0" w:rsidRDefault="00B339B0" w:rsidP="00B339B0">
      <w:pPr>
        <w:numPr>
          <w:ilvl w:val="0"/>
          <w:numId w:val="51"/>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w:t>
      </w:r>
    </w:p>
    <w:p w:rsidR="00B339B0" w:rsidRPr="00B339B0" w:rsidRDefault="00B339B0" w:rsidP="00B339B0">
      <w:pPr>
        <w:numPr>
          <w:ilvl w:val="0"/>
          <w:numId w:val="51"/>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w:t>
      </w:r>
    </w:p>
    <w:p w:rsidR="00B339B0" w:rsidRPr="00B339B0" w:rsidRDefault="00B339B0" w:rsidP="00B339B0">
      <w:pPr>
        <w:numPr>
          <w:ilvl w:val="0"/>
          <w:numId w:val="51"/>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 (кроме продажи супруге (супругу) или несовершеннолетним детям (за исключением случая, предусмотренного пунктом 39 Методических рекомендаций – при невозможности по объективным причинам представить Сведения на супругу (супруга) и (или) несовершеннолетних детей)).</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В случае продажи в отчетном периоде нескольких объектов имущества информация о доходе от реализации каждого объекта указывается отдельным значением. Доход от реализации имущества указывается в полном объеме без вычета "комиссионных" и иных подобных выплат.</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При этом рекомендуется указать вид и адрес проданного недвижимого имущества, вид и марку проданного транспортного средства (в том числе в случае 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"Иные доходы").</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Аналогично в отношении продажи имущества, находящегося в совместной собственности;</w:t>
      </w:r>
    </w:p>
    <w:p w:rsidR="00B339B0" w:rsidRPr="00B339B0" w:rsidRDefault="00B339B0" w:rsidP="00B339B0">
      <w:pPr>
        <w:numPr>
          <w:ilvl w:val="0"/>
          <w:numId w:val="52"/>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lastRenderedPageBreak/>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B339B0" w:rsidRPr="00B339B0" w:rsidRDefault="00B339B0" w:rsidP="00B339B0">
      <w:pPr>
        <w:numPr>
          <w:ilvl w:val="0"/>
          <w:numId w:val="52"/>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доходы по трудовым договорам по совместительству. При этом рекомендуется указать наименование и адрес места нахождения организации, от которой был получен доход;</w:t>
      </w:r>
    </w:p>
    <w:p w:rsidR="00B339B0" w:rsidRPr="00B339B0" w:rsidRDefault="00B339B0" w:rsidP="00B339B0">
      <w:pPr>
        <w:numPr>
          <w:ilvl w:val="0"/>
          <w:numId w:val="52"/>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B339B0" w:rsidRPr="00B339B0" w:rsidRDefault="00B339B0" w:rsidP="00B339B0">
      <w:pPr>
        <w:numPr>
          <w:ilvl w:val="0"/>
          <w:numId w:val="52"/>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вознаграждения по гражданско-правовым договорам, если данный доход не указан в иных строках настоящего раздела справки. При этом рекомендуется указать наименование и место нахождения организации, от которой был получен доход, или фамилию, имя и отчество соответствующего лица;</w:t>
      </w:r>
    </w:p>
    <w:p w:rsidR="00B339B0" w:rsidRPr="00B339B0" w:rsidRDefault="00B339B0" w:rsidP="00B339B0">
      <w:pPr>
        <w:numPr>
          <w:ilvl w:val="0"/>
          <w:numId w:val="52"/>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"Иное недвижимое имущество" подраздела 3.1 раздела 3 справки);</w:t>
      </w:r>
    </w:p>
    <w:p w:rsidR="00B339B0" w:rsidRPr="00B339B0" w:rsidRDefault="00B339B0" w:rsidP="00B339B0">
      <w:pPr>
        <w:numPr>
          <w:ilvl w:val="0"/>
          <w:numId w:val="52"/>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проценты по долговым обязательствам;</w:t>
      </w:r>
    </w:p>
    <w:p w:rsidR="00B339B0" w:rsidRPr="00B339B0" w:rsidRDefault="00B339B0" w:rsidP="00B339B0">
      <w:pPr>
        <w:numPr>
          <w:ilvl w:val="0"/>
          <w:numId w:val="52"/>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денежные средства, полученные в порядке дарения или наследования. При этом рекомендуется указать фамилию, имя и отчество соответствующего дарителя или наследодателя соответственно;</w:t>
      </w:r>
    </w:p>
    <w:p w:rsidR="00B339B0" w:rsidRPr="00B339B0" w:rsidRDefault="00B339B0" w:rsidP="00B339B0">
      <w:pPr>
        <w:numPr>
          <w:ilvl w:val="0"/>
          <w:numId w:val="52"/>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возмещение вреда, причиненного увечьем или иным повреждением здоровья;</w:t>
      </w:r>
    </w:p>
    <w:p w:rsidR="00B339B0" w:rsidRPr="00B339B0" w:rsidRDefault="00B339B0" w:rsidP="00B339B0">
      <w:pPr>
        <w:numPr>
          <w:ilvl w:val="0"/>
          <w:numId w:val="52"/>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выплаты, связанные с гибелью (смертью), выплаченные наследникам;</w:t>
      </w:r>
    </w:p>
    <w:p w:rsidR="00B339B0" w:rsidRPr="00B339B0" w:rsidRDefault="00B339B0" w:rsidP="00B339B0">
      <w:pPr>
        <w:numPr>
          <w:ilvl w:val="0"/>
          <w:numId w:val="52"/>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выплаты денежных сумм, осуществленные на основании договоров страхования. При этом в отношении договоров страхования, поименованных в подпункте 3 пункта 205 настоящих Методических рекомендаций, доходом является положительный результат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отдельно));</w:t>
      </w:r>
    </w:p>
    <w:p w:rsidR="00B339B0" w:rsidRPr="00B339B0" w:rsidRDefault="00B339B0" w:rsidP="00B339B0">
      <w:pPr>
        <w:numPr>
          <w:ilvl w:val="0"/>
          <w:numId w:val="52"/>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6-НДФЛ по месту службы (работы) и не отражены в строке "Доход по основному месту работы";</w:t>
      </w:r>
    </w:p>
    <w:p w:rsidR="00B339B0" w:rsidRPr="00B339B0" w:rsidRDefault="00B339B0" w:rsidP="00B339B0">
      <w:pPr>
        <w:numPr>
          <w:ilvl w:val="0"/>
          <w:numId w:val="52"/>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B339B0" w:rsidRPr="00B339B0" w:rsidRDefault="00B339B0" w:rsidP="00B339B0">
      <w:pPr>
        <w:numPr>
          <w:ilvl w:val="0"/>
          <w:numId w:val="52"/>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w:t>
      </w:r>
    </w:p>
    <w:p w:rsidR="00B339B0" w:rsidRPr="00B339B0" w:rsidRDefault="00B339B0" w:rsidP="00B339B0">
      <w:pPr>
        <w:numPr>
          <w:ilvl w:val="0"/>
          <w:numId w:val="52"/>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B339B0" w:rsidRPr="00B339B0" w:rsidRDefault="00B339B0" w:rsidP="00B339B0">
      <w:pPr>
        <w:numPr>
          <w:ilvl w:val="0"/>
          <w:numId w:val="52"/>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меры государственной поддержки семей, имеющих детей, в целях создания условий для погашения обязательств по ипотечным жилищным кредитам (займам);</w:t>
      </w:r>
    </w:p>
    <w:p w:rsidR="00B339B0" w:rsidRPr="00B339B0" w:rsidRDefault="00B339B0" w:rsidP="00B339B0">
      <w:pPr>
        <w:numPr>
          <w:ilvl w:val="0"/>
          <w:numId w:val="52"/>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B339B0" w:rsidRPr="00B339B0" w:rsidRDefault="00B339B0" w:rsidP="00B339B0">
      <w:pPr>
        <w:numPr>
          <w:ilvl w:val="0"/>
          <w:numId w:val="52"/>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rsidR="00B339B0" w:rsidRPr="00B339B0" w:rsidRDefault="00B339B0" w:rsidP="00B339B0">
      <w:pPr>
        <w:numPr>
          <w:ilvl w:val="0"/>
          <w:numId w:val="52"/>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выплаты членам профсоюзных организаций, полученные от данных профсоюзных организаций;</w:t>
      </w:r>
    </w:p>
    <w:p w:rsidR="00B339B0" w:rsidRPr="00B339B0" w:rsidRDefault="00B339B0" w:rsidP="00B339B0">
      <w:pPr>
        <w:numPr>
          <w:ilvl w:val="0"/>
          <w:numId w:val="52"/>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"Доход от педагогической и научной деятельности" раздела 1 справки, результаты иной творческой деятельности – в строке "Доход от иной творческой деятельности" указанного раздела справки;</w:t>
      </w:r>
    </w:p>
    <w:p w:rsidR="00B339B0" w:rsidRPr="00B339B0" w:rsidRDefault="00B339B0" w:rsidP="00B339B0">
      <w:pPr>
        <w:numPr>
          <w:ilvl w:val="0"/>
          <w:numId w:val="52"/>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вознаграждение, полученное при осуществлении опеки или попечительства на возмездной основе;</w:t>
      </w:r>
    </w:p>
    <w:p w:rsidR="00B339B0" w:rsidRPr="00B339B0" w:rsidRDefault="00B339B0" w:rsidP="00B339B0">
      <w:pPr>
        <w:numPr>
          <w:ilvl w:val="0"/>
          <w:numId w:val="52"/>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доход, полученный индивидуальным предпринимателем (указывается согласно бухгалтерской (финансовой) отчетности или в соответствии с пунктом 56 настоящих Методических рекомендаций);</w:t>
      </w:r>
    </w:p>
    <w:p w:rsidR="00B339B0" w:rsidRPr="00B339B0" w:rsidRDefault="00B339B0" w:rsidP="00B339B0">
      <w:pPr>
        <w:numPr>
          <w:ilvl w:val="0"/>
          <w:numId w:val="52"/>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6-НДФЛ, полученную по основному месту службы (работы);</w:t>
      </w:r>
    </w:p>
    <w:p w:rsidR="00B339B0" w:rsidRPr="00B339B0" w:rsidRDefault="00B339B0" w:rsidP="00B339B0">
      <w:pPr>
        <w:numPr>
          <w:ilvl w:val="0"/>
          <w:numId w:val="52"/>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денежные средства, полученные в качестве оплаты услуг или товаров, в том числе в качестве авансового платежа;</w:t>
      </w:r>
    </w:p>
    <w:p w:rsidR="00B339B0" w:rsidRPr="00B339B0" w:rsidRDefault="00B339B0" w:rsidP="00B339B0">
      <w:pPr>
        <w:numPr>
          <w:ilvl w:val="0"/>
          <w:numId w:val="52"/>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B339B0" w:rsidRPr="00B339B0" w:rsidRDefault="00B339B0" w:rsidP="00B339B0">
      <w:pPr>
        <w:numPr>
          <w:ilvl w:val="0"/>
          <w:numId w:val="52"/>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lastRenderedPageBreak/>
        <w:t>денежные средства, полученные от родственников (за исключением супруги (супруга) и несовершеннолетних детей кроме случая, предусмотренного пунктом 39 Методических рекомендаций – при невозможности по объективным причинам представить Сведения на супругу (супруга) и (или) несовершеннолетних детей) и третьих лиц на невозвратной основе;</w:t>
      </w:r>
    </w:p>
    <w:p w:rsidR="00B339B0" w:rsidRPr="00B339B0" w:rsidRDefault="00B339B0" w:rsidP="00B339B0">
      <w:pPr>
        <w:numPr>
          <w:ilvl w:val="0"/>
          <w:numId w:val="52"/>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доход, полученный по договорам переуступки прав требования на строящиеся объекты недвижимости;</w:t>
      </w:r>
    </w:p>
    <w:p w:rsidR="00B339B0" w:rsidRPr="00B339B0" w:rsidRDefault="00B339B0" w:rsidP="00B339B0">
      <w:pPr>
        <w:numPr>
          <w:ilvl w:val="0"/>
          <w:numId w:val="52"/>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B339B0" w:rsidRPr="00B339B0" w:rsidRDefault="00B339B0" w:rsidP="00B339B0">
      <w:pPr>
        <w:numPr>
          <w:ilvl w:val="0"/>
          <w:numId w:val="52"/>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выплаченная ликвидационная стоимость ценных бумаг при ликвидации коммерческой организации;</w:t>
      </w:r>
    </w:p>
    <w:p w:rsidR="00B339B0" w:rsidRPr="00B339B0" w:rsidRDefault="00B339B0" w:rsidP="00B339B0">
      <w:pPr>
        <w:numPr>
          <w:ilvl w:val="0"/>
          <w:numId w:val="52"/>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B339B0" w:rsidRPr="00B339B0" w:rsidRDefault="00B339B0" w:rsidP="00B339B0">
      <w:pPr>
        <w:numPr>
          <w:ilvl w:val="0"/>
          <w:numId w:val="52"/>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rsidR="00B339B0" w:rsidRPr="00B339B0" w:rsidRDefault="00B339B0" w:rsidP="00B339B0">
      <w:pPr>
        <w:numPr>
          <w:ilvl w:val="0"/>
          <w:numId w:val="52"/>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иные аналогичные выплаты.</w:t>
      </w:r>
    </w:p>
    <w:p w:rsidR="00B339B0" w:rsidRPr="00B339B0" w:rsidRDefault="00B339B0" w:rsidP="00B339B0">
      <w:pPr>
        <w:numPr>
          <w:ilvl w:val="0"/>
          <w:numId w:val="53"/>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Также в строке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rsidR="00B339B0" w:rsidRPr="00B339B0" w:rsidRDefault="00B339B0" w:rsidP="00B339B0">
      <w:pPr>
        <w:numPr>
          <w:ilvl w:val="1"/>
          <w:numId w:val="53"/>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w:t>
      </w:r>
    </w:p>
    <w:p w:rsidR="00B339B0" w:rsidRPr="00B339B0" w:rsidRDefault="00B339B0" w:rsidP="00B339B0">
      <w:pPr>
        <w:numPr>
          <w:ilvl w:val="1"/>
          <w:numId w:val="53"/>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ежемесячная денежная выплата на ребенка в возрасте от 8 до 17 лет в соответствии Указом Президента Российской Федерации от 31 марта 2022 г. № 175;</w:t>
      </w:r>
    </w:p>
    <w:p w:rsidR="00B339B0" w:rsidRPr="00B339B0" w:rsidRDefault="00B339B0" w:rsidP="00B339B0">
      <w:pPr>
        <w:numPr>
          <w:ilvl w:val="1"/>
          <w:numId w:val="53"/>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ежемесячное пособие женщине, вставшей на учет в медицинской организации в ранние сроки беременности) в соответствии с постановлением Правительства Российской Федерации от 6 июня 2022 г. № 1036.</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rsidR="00B339B0" w:rsidRPr="00B339B0" w:rsidRDefault="00B339B0" w:rsidP="00B339B0">
      <w:pPr>
        <w:numPr>
          <w:ilvl w:val="0"/>
          <w:numId w:val="54"/>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Доход, полученный в иностранной валюте, указывается в рублях по курсу Банка России на дату получения дохода (с учетом положений пункта 50 настоящих Методических рекомендаций). 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 (с учетом положений пункта 50 настоящих Методических рекомендаций).</w:t>
      </w:r>
    </w:p>
    <w:p w:rsidR="00B339B0" w:rsidRPr="00B339B0" w:rsidRDefault="00B339B0" w:rsidP="00B339B0">
      <w:pPr>
        <w:numPr>
          <w:ilvl w:val="0"/>
          <w:numId w:val="54"/>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Формой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 получение арендной платы в натуральной форме и проч.).</w:t>
      </w:r>
    </w:p>
    <w:p w:rsidR="00B339B0" w:rsidRPr="00B339B0" w:rsidRDefault="00B339B0" w:rsidP="00B339B0">
      <w:pPr>
        <w:numPr>
          <w:ilvl w:val="0"/>
          <w:numId w:val="54"/>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С учетом целей антикоррупционного законодательства в строке 6 "Иные доходы"</w:t>
      </w:r>
      <w:r w:rsidRPr="00B339B0">
        <w:rPr>
          <w:rFonts w:ascii="PT-Astra-Sans-Regular" w:eastAsia="Times New Roman" w:hAnsi="PT-Astra-Sans-Regular" w:cs="Times New Roman"/>
          <w:b/>
          <w:bCs/>
          <w:color w:val="252525"/>
          <w:sz w:val="19"/>
          <w:lang w:eastAsia="ru-RU"/>
        </w:rPr>
        <w:t> не указываются </w:t>
      </w:r>
      <w:r w:rsidRPr="00B339B0">
        <w:rPr>
          <w:rFonts w:ascii="PT-Astra-Sans-Regular" w:eastAsia="Times New Roman" w:hAnsi="PT-Astra-Sans-Regular" w:cs="Times New Roman"/>
          <w:color w:val="252525"/>
          <w:sz w:val="19"/>
          <w:szCs w:val="19"/>
          <w:lang w:eastAsia="ru-RU"/>
        </w:rPr>
        <w:t>сведения о денежных средствах, касающихся возмещения расходов, понесенных служащим (работником), его супругой (супругом), несовершеннолетним ребенком, в том числе связанных:</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1) со служебными командировками за счет средств работодателя;</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5) с приобретением проездных документов для исполнения служебных (должностных) обязанностей;</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6) с оплатой коммунальных и иных услуг, наймом жилого помещения;</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7) с внесением родительской платы за посещение дошкольного образовательного учреждения;</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lastRenderedPageBreak/>
        <w:t>8) с оформлением нотариальной доверенности, почтовыми расходами, расходами на оплату услуг представителя (возмещаются по решению суда).</w:t>
      </w:r>
    </w:p>
    <w:p w:rsidR="00B339B0" w:rsidRPr="00B339B0" w:rsidRDefault="00B339B0" w:rsidP="00B339B0">
      <w:pPr>
        <w:numPr>
          <w:ilvl w:val="0"/>
          <w:numId w:val="55"/>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Не указываются денежные средства, полученные в качестве компенсации, возмещения расходов или в иных аналогичных случаях, при условии, если нормативным правовым актом Российской Федерации предусмотрена отчетность, подтверждающая целевое расходование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 Так, например, не требуется указывать субсидию на приобретение сельскохозяйственной техники в случае, если правилами предоставления данной субсидии предусмотрено последующее предоставление получателем отчетных документов о приобретении такой техники и о подтверждении понесенных расходов.</w:t>
      </w:r>
    </w:p>
    <w:p w:rsidR="00B339B0" w:rsidRPr="00B339B0" w:rsidRDefault="00B339B0" w:rsidP="00B339B0">
      <w:pPr>
        <w:numPr>
          <w:ilvl w:val="0"/>
          <w:numId w:val="55"/>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Также не указываются сведения о денежных средствах, полученных:</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1) в виде социального, имущественного, инвестиционного налогового вычета;</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2) от продажи различного вида подарочных сертификатов (карт), выпущенных предприятиями торговли;</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3) в качестве бонусных баллов, бонусов на накопительных дисконтных картах, начисленных банками и иными организациями за пользование их услугами, в том числе в виде денежных средств ("кешбэк сервис"), включая т.н. "туристический кешбэк", "детский кешбэк" и др.;</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5) в качестве возврата налога на добавленную стоимость, уплаченного при совершении покупок за границей, по чекам Tax-free;</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6) в качестве вознаграждения донорам за сданную кровь, ее компонентов (и иную помощь);</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8) в качестве возмещения расходов на повышение профессионального уровня за счет средств представителя нанимателя (работодателя);</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10) в качестве перевода (между супругами и (или) несовершеннолетними детьми (аналогично в части, касающейся наличных денежных средств), кроме случая, предусмотренного пунктом 39 Методических рекомендаций – при невозможности по объективным причинам представить Сведения на супругу (супруга) и (или) несовершеннолетних детей);</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11) в связи с возвратом денежных средств по несостоявшемуся договору купли-продажи;</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14) на специальный избирательный счет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B339B0" w:rsidRPr="00B339B0" w:rsidRDefault="00B339B0" w:rsidP="00B339B0">
      <w:pPr>
        <w:numPr>
          <w:ilvl w:val="0"/>
          <w:numId w:val="56"/>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Социальная поддержка молодежи в возрасте от 14 до 22 лет для повышения доступности организаций культуры (т.н. "Пушкинская карта") не подлежит отражению в разделе 1 справки. Счет в банке, открытый для соответствующих целей, отражается в разделе 4 справки с учетом положений пункта 146 настоящих Методических рекомендаций.</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lastRenderedPageBreak/>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rsidR="00B339B0" w:rsidRPr="00B339B0" w:rsidRDefault="00B339B0" w:rsidP="00B339B0">
      <w:pPr>
        <w:numPr>
          <w:ilvl w:val="0"/>
          <w:numId w:val="57"/>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 </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b/>
          <w:bCs/>
          <w:color w:val="252525"/>
          <w:sz w:val="19"/>
          <w:lang w:eastAsia="ru-RU"/>
        </w:rPr>
        <w:t>РАЗДЕЛ 2. СВЕДЕНИЯ О РАСХОДАХ</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b/>
          <w:bCs/>
          <w:color w:val="252525"/>
          <w:sz w:val="19"/>
          <w:lang w:eastAsia="ru-RU"/>
        </w:rPr>
        <w:t> </w:t>
      </w:r>
    </w:p>
    <w:p w:rsidR="00B339B0" w:rsidRPr="00B339B0" w:rsidRDefault="00B339B0" w:rsidP="00B339B0">
      <w:pPr>
        <w:numPr>
          <w:ilvl w:val="0"/>
          <w:numId w:val="58"/>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Данный раздел справки </w:t>
      </w:r>
      <w:r w:rsidRPr="00B339B0">
        <w:rPr>
          <w:rFonts w:ascii="PT-Astra-Sans-Regular" w:eastAsia="Times New Roman" w:hAnsi="PT-Astra-Sans-Regular" w:cs="Times New Roman"/>
          <w:b/>
          <w:bCs/>
          <w:color w:val="252525"/>
          <w:sz w:val="19"/>
          <w:lang w:eastAsia="ru-RU"/>
        </w:rPr>
        <w:t>заполняется только</w:t>
      </w:r>
      <w:r w:rsidRPr="00B339B0">
        <w:rPr>
          <w:rFonts w:ascii="PT-Astra-Sans-Regular" w:eastAsia="Times New Roman" w:hAnsi="PT-Astra-Sans-Regular" w:cs="Times New Roman"/>
          <w:color w:val="252525"/>
          <w:sz w:val="19"/>
          <w:szCs w:val="19"/>
          <w:lang w:eastAsia="ru-RU"/>
        </w:rPr>
        <w:t> 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такой сделки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2023 году сообщаются сведения о расходах по сделкам, совершенным в 2022 году.</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w:t>
      </w:r>
    </w:p>
    <w:p w:rsidR="00B339B0" w:rsidRPr="00B339B0" w:rsidRDefault="00B339B0" w:rsidP="00B339B0">
      <w:pPr>
        <w:numPr>
          <w:ilvl w:val="0"/>
          <w:numId w:val="59"/>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Данный раздел справки также подлежит заполнению при наличии обстоятельств, перечисленных в пункте 82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B339B0" w:rsidRPr="00B339B0" w:rsidRDefault="00B339B0" w:rsidP="00B339B0">
      <w:pPr>
        <w:numPr>
          <w:ilvl w:val="0"/>
          <w:numId w:val="59"/>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Граждане, поступающие на службу (работу), раздел 2справки не заполняют.</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w:t>
      </w:r>
    </w:p>
    <w:p w:rsidR="00B339B0" w:rsidRPr="00B339B0" w:rsidRDefault="00B339B0" w:rsidP="00B339B0">
      <w:pPr>
        <w:numPr>
          <w:ilvl w:val="0"/>
          <w:numId w:val="60"/>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Заполнение данного раздела при отсутствии указанных в пункте 82 настоящих Методических рекомендаций оснований не является нарушением.</w:t>
      </w:r>
    </w:p>
    <w:p w:rsidR="00B339B0" w:rsidRPr="00B339B0" w:rsidRDefault="00B339B0" w:rsidP="00B339B0">
      <w:pPr>
        <w:numPr>
          <w:ilvl w:val="0"/>
          <w:numId w:val="60"/>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2022 году, суммируются доходы служащего (работника) и его супруги (супруга), полученные в 2019, 2020 и 2021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общего дохода из него не вычитаются иные расходы, например связанные с отпуском, оплатой жилищно-коммунальных услуг и т.п.</w:t>
      </w:r>
    </w:p>
    <w:p w:rsidR="00B339B0" w:rsidRPr="00B339B0" w:rsidRDefault="00B339B0" w:rsidP="00B339B0">
      <w:pPr>
        <w:numPr>
          <w:ilvl w:val="0"/>
          <w:numId w:val="60"/>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Для цели реализации пункта 82 настоящих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служащего (работника) за три последних года, предшествующих отчетному периоду (аналогично в отношении супруги (супруга).</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rsidR="00B339B0" w:rsidRPr="00B339B0" w:rsidRDefault="00B339B0" w:rsidP="00B339B0">
      <w:pPr>
        <w:numPr>
          <w:ilvl w:val="0"/>
          <w:numId w:val="61"/>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w:t>
      </w:r>
      <w:r w:rsidRPr="00B339B0">
        <w:rPr>
          <w:rFonts w:ascii="PT-Astra-Sans-Regular" w:eastAsia="Times New Roman" w:hAnsi="PT-Astra-Sans-Regular" w:cs="Times New Roman"/>
          <w:color w:val="252525"/>
          <w:sz w:val="19"/>
          <w:szCs w:val="19"/>
          <w:lang w:eastAsia="ru-RU"/>
        </w:rPr>
        <w:lastRenderedPageBreak/>
        <w:t>супруги (супруга) за три последних года, предшествующих отчетному периоду, подлежит отражению в настоящем разделе справки.</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B339B0" w:rsidRPr="00B339B0" w:rsidRDefault="00B339B0" w:rsidP="00B339B0">
      <w:pPr>
        <w:numPr>
          <w:ilvl w:val="0"/>
          <w:numId w:val="62"/>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B339B0" w:rsidRPr="00B339B0" w:rsidRDefault="00B339B0" w:rsidP="00B339B0">
      <w:pPr>
        <w:numPr>
          <w:ilvl w:val="0"/>
          <w:numId w:val="62"/>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Данный раздел </w:t>
      </w:r>
      <w:r w:rsidRPr="00B339B0">
        <w:rPr>
          <w:rFonts w:ascii="PT-Astra-Sans-Regular" w:eastAsia="Times New Roman" w:hAnsi="PT-Astra-Sans-Regular" w:cs="Times New Roman"/>
          <w:b/>
          <w:bCs/>
          <w:color w:val="252525"/>
          <w:sz w:val="19"/>
          <w:lang w:eastAsia="ru-RU"/>
        </w:rPr>
        <w:t>не заполняется</w:t>
      </w:r>
      <w:r w:rsidRPr="00B339B0">
        <w:rPr>
          <w:rFonts w:ascii="PT-Astra-Sans-Regular" w:eastAsia="Times New Roman" w:hAnsi="PT-Astra-Sans-Regular" w:cs="Times New Roman"/>
          <w:color w:val="252525"/>
          <w:sz w:val="19"/>
          <w:szCs w:val="19"/>
          <w:lang w:eastAsia="ru-RU"/>
        </w:rPr>
        <w:t> в следующих случаях:</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3) осуществлена государственная регистрация права собственности на недвижимое имущество без совершения сделки по приобретению данного имущества (например, возведение жилого дома на земельном участке).</w:t>
      </w:r>
    </w:p>
    <w:p w:rsidR="00B339B0" w:rsidRPr="00B339B0" w:rsidRDefault="00B339B0" w:rsidP="00B339B0">
      <w:pPr>
        <w:numPr>
          <w:ilvl w:val="0"/>
          <w:numId w:val="63"/>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При заполнении графы "</w:t>
      </w:r>
      <w:r w:rsidRPr="00B339B0">
        <w:rPr>
          <w:rFonts w:ascii="PT-Astra-Sans-Regular" w:eastAsia="Times New Roman" w:hAnsi="PT-Astra-Sans-Regular" w:cs="Times New Roman"/>
          <w:b/>
          <w:bCs/>
          <w:color w:val="252525"/>
          <w:sz w:val="19"/>
          <w:lang w:eastAsia="ru-RU"/>
        </w:rPr>
        <w:t>Вид приобретенного имущества</w:t>
      </w:r>
      <w:r w:rsidRPr="00B339B0">
        <w:rPr>
          <w:rFonts w:ascii="PT-Astra-Sans-Regular" w:eastAsia="Times New Roman" w:hAnsi="PT-Astra-Sans-Regular" w:cs="Times New Roman"/>
          <w:color w:val="252525"/>
          <w:sz w:val="19"/>
          <w:szCs w:val="19"/>
          <w:lang w:eastAsia="ru-RU"/>
        </w:rPr>
        <w:t>"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rsidR="00B339B0" w:rsidRPr="00B339B0" w:rsidRDefault="00B339B0" w:rsidP="00B339B0">
      <w:pPr>
        <w:numPr>
          <w:ilvl w:val="0"/>
          <w:numId w:val="63"/>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При заполнении графы "</w:t>
      </w:r>
      <w:r w:rsidRPr="00B339B0">
        <w:rPr>
          <w:rFonts w:ascii="PT-Astra-Sans-Regular" w:eastAsia="Times New Roman" w:hAnsi="PT-Astra-Sans-Regular" w:cs="Times New Roman"/>
          <w:b/>
          <w:bCs/>
          <w:color w:val="252525"/>
          <w:sz w:val="19"/>
          <w:lang w:eastAsia="ru-RU"/>
        </w:rPr>
        <w:t>Источник получения средств, за счет которых приобретено имущество</w:t>
      </w:r>
      <w:r w:rsidRPr="00B339B0">
        <w:rPr>
          <w:rFonts w:ascii="PT-Astra-Sans-Regular" w:eastAsia="Times New Roman" w:hAnsi="PT-Astra-Sans-Regular" w:cs="Times New Roman"/>
          <w:color w:val="252525"/>
          <w:sz w:val="19"/>
          <w:szCs w:val="19"/>
          <w:lang w:eastAsia="ru-RU"/>
        </w:rPr>
        <w:t>" следует указывать наименование источника получения средств и размер полученного дохода по каждому из источников.</w:t>
      </w:r>
    </w:p>
    <w:p w:rsidR="00B339B0" w:rsidRPr="00B339B0" w:rsidRDefault="00B339B0" w:rsidP="00B339B0">
      <w:pPr>
        <w:numPr>
          <w:ilvl w:val="0"/>
          <w:numId w:val="63"/>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B339B0" w:rsidRPr="00B339B0" w:rsidRDefault="00B339B0" w:rsidP="00B339B0">
      <w:pPr>
        <w:numPr>
          <w:ilvl w:val="0"/>
          <w:numId w:val="63"/>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B339B0" w:rsidRPr="00B339B0" w:rsidRDefault="00B339B0" w:rsidP="00B339B0">
      <w:pPr>
        <w:numPr>
          <w:ilvl w:val="0"/>
          <w:numId w:val="63"/>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В графе </w:t>
      </w:r>
      <w:r w:rsidRPr="00B339B0">
        <w:rPr>
          <w:rFonts w:ascii="PT-Astra-Sans-Regular" w:eastAsia="Times New Roman" w:hAnsi="PT-Astra-Sans-Regular" w:cs="Times New Roman"/>
          <w:b/>
          <w:bCs/>
          <w:color w:val="252525"/>
          <w:sz w:val="19"/>
          <w:lang w:eastAsia="ru-RU"/>
        </w:rPr>
        <w:t>"Основания приобретения имущества" </w:t>
      </w:r>
      <w:r w:rsidRPr="00B339B0">
        <w:rPr>
          <w:rFonts w:ascii="PT-Astra-Sans-Regular" w:eastAsia="Times New Roman" w:hAnsi="PT-Astra-Sans-Regular" w:cs="Times New Roman"/>
          <w:color w:val="252525"/>
          <w:sz w:val="19"/>
          <w:szCs w:val="19"/>
          <w:lang w:eastAsia="ru-RU"/>
        </w:rPr>
        <w:t>указываются регистрационный номер и дата записи в Едином государственном реестре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rsidR="00B339B0" w:rsidRPr="00B339B0" w:rsidRDefault="00B339B0" w:rsidP="00B339B0">
      <w:pPr>
        <w:numPr>
          <w:ilvl w:val="0"/>
          <w:numId w:val="64"/>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b/>
          <w:bCs/>
          <w:color w:val="252525"/>
          <w:sz w:val="19"/>
          <w:lang w:eastAsia="ru-RU"/>
        </w:rPr>
        <w:lastRenderedPageBreak/>
        <w:t>Особенности заполнения раздела "Сведения о расходах"</w:t>
      </w:r>
      <w:r w:rsidRPr="00B339B0">
        <w:rPr>
          <w:rFonts w:ascii="PT-Astra-Sans-Regular" w:eastAsia="Times New Roman" w:hAnsi="PT-Astra-Sans-Regular" w:cs="Times New Roman"/>
          <w:color w:val="252525"/>
          <w:sz w:val="19"/>
          <w:szCs w:val="19"/>
          <w:lang w:eastAsia="ru-RU"/>
        </w:rPr>
        <w:t>:</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b/>
          <w:bCs/>
          <w:color w:val="252525"/>
          <w:sz w:val="19"/>
          <w:lang w:eastAsia="ru-RU"/>
        </w:rPr>
        <w:t>1) приобретение недвижимого имущества посредством участия в долевом строительстве.</w:t>
      </w:r>
      <w:r w:rsidRPr="00B339B0">
        <w:rPr>
          <w:rFonts w:ascii="PT-Astra-Sans-Regular" w:eastAsia="Times New Roman" w:hAnsi="PT-Astra-Sans-Regular" w:cs="Times New Roman"/>
          <w:color w:val="252525"/>
          <w:sz w:val="19"/>
          <w:szCs w:val="19"/>
          <w:lang w:eastAsia="ru-RU"/>
        </w:rPr>
        <w:t>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собственности на недвижимое имущество, приобретенное на основании договора долевого участия, сведения об этом имуществе подлежат указанию в подразделе 3.1 раздела 3 справки;</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b/>
          <w:bCs/>
          <w:color w:val="252525"/>
          <w:sz w:val="19"/>
          <w:lang w:eastAsia="ru-RU"/>
        </w:rPr>
        <w:t>2) приобретение недвижимого имущества посредством участия в кооперативе.</w:t>
      </w:r>
      <w:r w:rsidRPr="00B339B0">
        <w:rPr>
          <w:rFonts w:ascii="PT-Astra-Sans-Regular" w:eastAsia="Times New Roman" w:hAnsi="PT-Astra-Sans-Regular" w:cs="Times New Roman"/>
          <w:color w:val="252525"/>
          <w:sz w:val="19"/>
          <w:szCs w:val="19"/>
          <w:lang w:eastAsia="ru-RU"/>
        </w:rPr>
        <w:t>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b/>
          <w:bCs/>
          <w:color w:val="252525"/>
          <w:sz w:val="19"/>
          <w:lang w:eastAsia="ru-RU"/>
        </w:rPr>
        <w:t>3) приобретение ценных бумаг.</w:t>
      </w:r>
      <w:r w:rsidRPr="00B339B0">
        <w:rPr>
          <w:rFonts w:ascii="PT-Astra-Sans-Regular" w:eastAsia="Times New Roman" w:hAnsi="PT-Astra-Sans-Regular" w:cs="Times New Roman"/>
          <w:color w:val="252525"/>
          <w:sz w:val="19"/>
          <w:szCs w:val="19"/>
          <w:lang w:eastAsia="ru-RU"/>
        </w:rPr>
        <w:t>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b/>
          <w:bCs/>
          <w:color w:val="252525"/>
          <w:sz w:val="19"/>
          <w:lang w:eastAsia="ru-RU"/>
        </w:rPr>
        <w:t>4) приобретение цифровых финансовых активов и цифровых валют.</w:t>
      </w:r>
      <w:r w:rsidRPr="00B339B0">
        <w:rPr>
          <w:rFonts w:ascii="PT-Astra-Sans-Regular" w:eastAsia="Times New Roman" w:hAnsi="PT-Astra-Sans-Regular" w:cs="Times New Roman"/>
          <w:color w:val="252525"/>
          <w:sz w:val="19"/>
          <w:szCs w:val="19"/>
          <w:lang w:eastAsia="ru-RU"/>
        </w:rPr>
        <w:t>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 </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b/>
          <w:bCs/>
          <w:color w:val="252525"/>
          <w:sz w:val="19"/>
          <w:lang w:eastAsia="ru-RU"/>
        </w:rPr>
        <w:t>РАЗДЕЛ 3. СВЕДЕНИЯ ОБ ИМУЩЕСТВЕ</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 </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b/>
          <w:bCs/>
          <w:color w:val="252525"/>
          <w:sz w:val="19"/>
          <w:lang w:eastAsia="ru-RU"/>
        </w:rPr>
        <w:t>Подраздел 3.1 Недвижимое имущество</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 </w:t>
      </w:r>
    </w:p>
    <w:p w:rsidR="00B339B0" w:rsidRPr="00B339B0" w:rsidRDefault="00B339B0" w:rsidP="00B339B0">
      <w:pPr>
        <w:numPr>
          <w:ilvl w:val="0"/>
          <w:numId w:val="65"/>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 xml:space="preserve">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w:t>
      </w:r>
      <w:r w:rsidRPr="00B339B0">
        <w:rPr>
          <w:rFonts w:ascii="PT-Astra-Sans-Regular" w:eastAsia="Times New Roman" w:hAnsi="PT-Astra-Sans-Regular" w:cs="Times New Roman"/>
          <w:color w:val="252525"/>
          <w:sz w:val="19"/>
          <w:szCs w:val="19"/>
          <w:lang w:eastAsia="ru-RU"/>
        </w:rPr>
        <w:lastRenderedPageBreak/>
        <w:t>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B339B0" w:rsidRPr="00B339B0" w:rsidRDefault="00B339B0" w:rsidP="00B339B0">
      <w:pPr>
        <w:numPr>
          <w:ilvl w:val="0"/>
          <w:numId w:val="65"/>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Также в данном подразделе подлежат отражению объекты недвижимого имущества, принадлежащие на праве собственности гражданину, зарегистрированному в качестве индивидуального предпринимателя.</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При заполнении данного подраздела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 (за исключением случая, предусмотренного пунктом 116 настоящих Методических рекомендаций).</w:t>
      </w:r>
    </w:p>
    <w:p w:rsidR="00B339B0" w:rsidRPr="00B339B0" w:rsidRDefault="00B339B0" w:rsidP="00B339B0">
      <w:pPr>
        <w:numPr>
          <w:ilvl w:val="0"/>
          <w:numId w:val="66"/>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 (за исключением случая, предусмотренного пунктом 116 настоящих Методических рекомендаций).</w:t>
      </w:r>
    </w:p>
    <w:p w:rsidR="00B339B0" w:rsidRPr="00B339B0" w:rsidRDefault="00B339B0" w:rsidP="00B339B0">
      <w:pPr>
        <w:numPr>
          <w:ilvl w:val="0"/>
          <w:numId w:val="67"/>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В соответствии с пунктом 4 статьи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rsidR="00B339B0" w:rsidRPr="00B339B0" w:rsidRDefault="00B339B0" w:rsidP="00B339B0">
      <w:pPr>
        <w:numPr>
          <w:ilvl w:val="0"/>
          <w:numId w:val="67"/>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B339B0" w:rsidRPr="00B339B0" w:rsidRDefault="00B339B0" w:rsidP="00B339B0">
      <w:pPr>
        <w:numPr>
          <w:ilvl w:val="0"/>
          <w:numId w:val="67"/>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Заполнение графы </w:t>
      </w:r>
      <w:r w:rsidRPr="00B339B0">
        <w:rPr>
          <w:rFonts w:ascii="PT-Astra-Sans-Regular" w:eastAsia="Times New Roman" w:hAnsi="PT-Astra-Sans-Regular" w:cs="Times New Roman"/>
          <w:b/>
          <w:bCs/>
          <w:color w:val="252525"/>
          <w:sz w:val="19"/>
          <w:lang w:eastAsia="ru-RU"/>
        </w:rPr>
        <w:t>"Вид и наименование имущества"</w:t>
      </w:r>
    </w:p>
    <w:p w:rsidR="00B339B0" w:rsidRPr="00B339B0" w:rsidRDefault="00B339B0" w:rsidP="00B339B0">
      <w:pPr>
        <w:numPr>
          <w:ilvl w:val="0"/>
          <w:numId w:val="68"/>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При указании сведений о </w:t>
      </w:r>
      <w:r w:rsidRPr="00B339B0">
        <w:rPr>
          <w:rFonts w:ascii="PT-Astra-Sans-Regular" w:eastAsia="Times New Roman" w:hAnsi="PT-Astra-Sans-Regular" w:cs="Times New Roman"/>
          <w:b/>
          <w:bCs/>
          <w:color w:val="252525"/>
          <w:sz w:val="19"/>
          <w:lang w:eastAsia="ru-RU"/>
        </w:rPr>
        <w:t>земельных участках</w:t>
      </w:r>
      <w:r w:rsidRPr="00B339B0">
        <w:rPr>
          <w:rFonts w:ascii="PT-Astra-Sans-Regular" w:eastAsia="Times New Roman" w:hAnsi="PT-Astra-Sans-Regular" w:cs="Times New Roman"/>
          <w:color w:val="252525"/>
          <w:sz w:val="19"/>
          <w:szCs w:val="19"/>
          <w:lang w:eastAsia="ru-RU"/>
        </w:rPr>
        <w:t>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1) садовый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2) огородный земельный участок – 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B339B0" w:rsidRPr="00B339B0" w:rsidRDefault="00B339B0" w:rsidP="00B339B0">
      <w:pPr>
        <w:numPr>
          <w:ilvl w:val="0"/>
          <w:numId w:val="69"/>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 xml:space="preserve">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w:t>
      </w:r>
      <w:r w:rsidRPr="00B339B0">
        <w:rPr>
          <w:rFonts w:ascii="PT-Astra-Sans-Regular" w:eastAsia="Times New Roman" w:hAnsi="PT-Astra-Sans-Regular" w:cs="Times New Roman"/>
          <w:color w:val="252525"/>
          <w:sz w:val="19"/>
          <w:szCs w:val="19"/>
          <w:lang w:eastAsia="ru-RU"/>
        </w:rPr>
        <w:lastRenderedPageBreak/>
        <w:t>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B339B0" w:rsidRPr="00B339B0" w:rsidRDefault="00B339B0" w:rsidP="00B339B0">
      <w:pPr>
        <w:numPr>
          <w:ilvl w:val="0"/>
          <w:numId w:val="69"/>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w:t>
      </w:r>
    </w:p>
    <w:p w:rsidR="00B339B0" w:rsidRPr="00B339B0" w:rsidRDefault="00B339B0" w:rsidP="00B339B0">
      <w:pPr>
        <w:numPr>
          <w:ilvl w:val="0"/>
          <w:numId w:val="69"/>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При наличии в собственности </w:t>
      </w:r>
      <w:r w:rsidRPr="00B339B0">
        <w:rPr>
          <w:rFonts w:ascii="PT-Astra-Sans-Regular" w:eastAsia="Times New Roman" w:hAnsi="PT-Astra-Sans-Regular" w:cs="Times New Roman"/>
          <w:b/>
          <w:bCs/>
          <w:color w:val="252525"/>
          <w:sz w:val="19"/>
          <w:lang w:eastAsia="ru-RU"/>
        </w:rPr>
        <w:t>жилого или садового дома,</w:t>
      </w:r>
      <w:r w:rsidRPr="00B339B0">
        <w:rPr>
          <w:rFonts w:ascii="PT-Astra-Sans-Regular" w:eastAsia="Times New Roman" w:hAnsi="PT-Astra-Sans-Regular" w:cs="Times New Roman"/>
          <w:color w:val="252525"/>
          <w:sz w:val="19"/>
          <w:szCs w:val="19"/>
          <w:lang w:eastAsia="ru-RU"/>
        </w:rPr>
        <w:t>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B339B0" w:rsidRPr="00B339B0" w:rsidRDefault="00B339B0" w:rsidP="00B339B0">
      <w:pPr>
        <w:numPr>
          <w:ilvl w:val="0"/>
          <w:numId w:val="69"/>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В строке 4 "</w:t>
      </w:r>
      <w:r w:rsidRPr="00B339B0">
        <w:rPr>
          <w:rFonts w:ascii="PT-Astra-Sans-Regular" w:eastAsia="Times New Roman" w:hAnsi="PT-Astra-Sans-Regular" w:cs="Times New Roman"/>
          <w:b/>
          <w:bCs/>
          <w:color w:val="252525"/>
          <w:sz w:val="19"/>
          <w:lang w:eastAsia="ru-RU"/>
        </w:rPr>
        <w:t>Гаражи</w:t>
      </w:r>
      <w:r w:rsidRPr="00B339B0">
        <w:rPr>
          <w:rFonts w:ascii="PT-Astra-Sans-Regular" w:eastAsia="Times New Roman" w:hAnsi="PT-Astra-Sans-Regular" w:cs="Times New Roman"/>
          <w:color w:val="252525"/>
          <w:sz w:val="19"/>
          <w:szCs w:val="19"/>
          <w:lang w:eastAsia="ru-RU"/>
        </w:rPr>
        <w:t>" указывается информация об организованных местах хранения автотранспорта - "гараж", "машино-место" и другие на основании свидетельства о регистрации права собственности (иного правоустанавливающего документа). Земельный участок, на котором расположен гараж, являющийся обособленным строением, 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B339B0" w:rsidRPr="00B339B0" w:rsidRDefault="00B339B0" w:rsidP="00B339B0">
      <w:pPr>
        <w:numPr>
          <w:ilvl w:val="0"/>
          <w:numId w:val="69"/>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В графе </w:t>
      </w:r>
      <w:r w:rsidRPr="00B339B0">
        <w:rPr>
          <w:rFonts w:ascii="PT-Astra-Sans-Regular" w:eastAsia="Times New Roman" w:hAnsi="PT-Astra-Sans-Regular" w:cs="Times New Roman"/>
          <w:b/>
          <w:bCs/>
          <w:color w:val="252525"/>
          <w:sz w:val="19"/>
          <w:lang w:eastAsia="ru-RU"/>
        </w:rPr>
        <w:t>"Вид собственности"</w:t>
      </w:r>
      <w:r w:rsidRPr="00B339B0">
        <w:rPr>
          <w:rFonts w:ascii="PT-Astra-Sans-Regular" w:eastAsia="Times New Roman" w:hAnsi="PT-Astra-Sans-Regular" w:cs="Times New Roman"/>
          <w:color w:val="252525"/>
          <w:sz w:val="19"/>
          <w:szCs w:val="19"/>
          <w:lang w:eastAsia="ru-RU"/>
        </w:rPr>
        <w:t> указывается вид собственности на имущество (индивидуальная, общая совместная, общая долевая).</w:t>
      </w:r>
    </w:p>
    <w:p w:rsidR="00B339B0" w:rsidRPr="00B339B0" w:rsidRDefault="00B339B0" w:rsidP="00B339B0">
      <w:pPr>
        <w:numPr>
          <w:ilvl w:val="0"/>
          <w:numId w:val="69"/>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B339B0" w:rsidRPr="00B339B0" w:rsidRDefault="00B339B0" w:rsidP="00B339B0">
      <w:pPr>
        <w:numPr>
          <w:ilvl w:val="0"/>
          <w:numId w:val="69"/>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p>
    <w:p w:rsidR="00B339B0" w:rsidRPr="00B339B0" w:rsidRDefault="00B339B0" w:rsidP="00B339B0">
      <w:pPr>
        <w:numPr>
          <w:ilvl w:val="0"/>
          <w:numId w:val="69"/>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b/>
          <w:bCs/>
          <w:color w:val="252525"/>
          <w:sz w:val="19"/>
          <w:lang w:eastAsia="ru-RU"/>
        </w:rPr>
        <w:t>Местонахождение (адрес)</w:t>
      </w:r>
      <w:r w:rsidRPr="00B339B0">
        <w:rPr>
          <w:rFonts w:ascii="PT-Astra-Sans-Regular" w:eastAsia="Times New Roman" w:hAnsi="PT-Astra-Sans-Regular" w:cs="Times New Roman"/>
          <w:color w:val="252525"/>
          <w:sz w:val="19"/>
          <w:szCs w:val="19"/>
          <w:lang w:eastAsia="ru-RU"/>
        </w:rPr>
        <w:t> недвижимого имущества указывается согласно правоустанавливающим документам. При этом указывается:</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1) субъект Российской Федерации;</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2) район;</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3) город, иной населенный пункт (село, поселок и т.д.);</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4) улица (проспект, переулок и т.д.);</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5) номер дома (владения, участка), корпуса (строения), квартиры.</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Также рекомендуется указывать индекс.</w:t>
      </w:r>
    </w:p>
    <w:p w:rsidR="00B339B0" w:rsidRPr="00B339B0" w:rsidRDefault="00B339B0" w:rsidP="00B339B0">
      <w:pPr>
        <w:numPr>
          <w:ilvl w:val="0"/>
          <w:numId w:val="70"/>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Если недвижимое имущество находится за рубежом, то указывается:</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1) наименование государства;</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2) населенный пункт (иная единица административно-территориального деления);</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3) почтовый адрес.</w:t>
      </w:r>
    </w:p>
    <w:p w:rsidR="00B339B0" w:rsidRPr="00B339B0" w:rsidRDefault="00B339B0" w:rsidP="00B339B0">
      <w:pPr>
        <w:numPr>
          <w:ilvl w:val="0"/>
          <w:numId w:val="71"/>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b/>
          <w:bCs/>
          <w:color w:val="252525"/>
          <w:sz w:val="19"/>
          <w:lang w:eastAsia="ru-RU"/>
        </w:rPr>
        <w:t>Площадь </w:t>
      </w:r>
      <w:r w:rsidRPr="00B339B0">
        <w:rPr>
          <w:rFonts w:ascii="PT-Astra-Sans-Regular" w:eastAsia="Times New Roman" w:hAnsi="PT-Astra-Sans-Regular" w:cs="Times New Roman"/>
          <w:color w:val="252525"/>
          <w:sz w:val="19"/>
          <w:szCs w:val="19"/>
          <w:lang w:eastAsia="ru-RU"/>
        </w:rPr>
        <w:t>объекта недвижимого имущества указывается на основании правоустанавливающих документов. Если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B339B0" w:rsidRPr="00B339B0" w:rsidRDefault="00B339B0" w:rsidP="00B339B0">
      <w:pPr>
        <w:numPr>
          <w:ilvl w:val="0"/>
          <w:numId w:val="71"/>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 xml:space="preserve">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w:t>
      </w:r>
      <w:r w:rsidRPr="00B339B0">
        <w:rPr>
          <w:rFonts w:ascii="PT-Astra-Sans-Regular" w:eastAsia="Times New Roman" w:hAnsi="PT-Astra-Sans-Regular" w:cs="Times New Roman"/>
          <w:color w:val="252525"/>
          <w:sz w:val="19"/>
          <w:szCs w:val="19"/>
          <w:lang w:eastAsia="ru-RU"/>
        </w:rPr>
        <w:lastRenderedPageBreak/>
        <w:t>гражданами садоводства и огородничества для собственных нужд и о внесении изменений в отдельные законодательные акты Российской Федерации".</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b/>
          <w:bCs/>
          <w:color w:val="252525"/>
          <w:sz w:val="19"/>
          <w:lang w:eastAsia="ru-RU"/>
        </w:rPr>
        <w:t>Основание приобретения и источники средств</w:t>
      </w:r>
    </w:p>
    <w:p w:rsidR="00B339B0" w:rsidRPr="00B339B0" w:rsidRDefault="00B339B0" w:rsidP="00B339B0">
      <w:pPr>
        <w:numPr>
          <w:ilvl w:val="0"/>
          <w:numId w:val="72"/>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B339B0">
        <w:rPr>
          <w:rFonts w:ascii="PT-Astra-Sans-Regular" w:eastAsia="Times New Roman" w:hAnsi="PT-Astra-Sans-Regular" w:cs="Times New Roman"/>
          <w:b/>
          <w:bCs/>
          <w:color w:val="252525"/>
          <w:sz w:val="19"/>
          <w:lang w:eastAsia="ru-RU"/>
        </w:rPr>
        <w:t>или</w:t>
      </w:r>
      <w:r w:rsidRPr="00B339B0">
        <w:rPr>
          <w:rFonts w:ascii="PT-Astra-Sans-Regular" w:eastAsia="Times New Roman" w:hAnsi="PT-Astra-Sans-Regular" w:cs="Times New Roman"/>
          <w:color w:val="252525"/>
          <w:sz w:val="19"/>
          <w:szCs w:val="19"/>
          <w:lang w:eastAsia="ru-RU"/>
        </w:rPr>
        <w:t>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16" w:history="1">
        <w:r w:rsidRPr="00B339B0">
          <w:rPr>
            <w:rFonts w:ascii="PT-Astra-Sans-Regular" w:eastAsia="Times New Roman" w:hAnsi="PT-Astra-Sans-Regular" w:cs="Times New Roman"/>
            <w:color w:val="0345BF"/>
            <w:sz w:val="19"/>
            <w:lang w:eastAsia="ru-RU"/>
          </w:rPr>
          <w:t>https://lk.rosreestr.ru/eservices/real-estate-objects-online</w:t>
        </w:r>
      </w:hyperlink>
      <w:r w:rsidRPr="00B339B0">
        <w:rPr>
          <w:rFonts w:ascii="PT-Astra-Sans-Regular" w:eastAsia="Times New Roman" w:hAnsi="PT-Astra-Sans-Regular" w:cs="Times New Roman"/>
          <w:color w:val="252525"/>
          <w:sz w:val="19"/>
          <w:szCs w:val="19"/>
          <w:lang w:eastAsia="ru-RU"/>
        </w:rPr>
        <w:t>).</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B339B0" w:rsidRPr="00B339B0" w:rsidRDefault="00B339B0" w:rsidP="00B339B0">
      <w:pPr>
        <w:numPr>
          <w:ilvl w:val="0"/>
          <w:numId w:val="73"/>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N от 15.03.1995 г. № 1-345/95 о передаче недвижимого имущества в собственность и др.).</w:t>
      </w:r>
    </w:p>
    <w:p w:rsidR="00B339B0" w:rsidRPr="00B339B0" w:rsidRDefault="00B339B0" w:rsidP="00B339B0">
      <w:pPr>
        <w:numPr>
          <w:ilvl w:val="0"/>
          <w:numId w:val="73"/>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77:02:0014017:1994-72/004/2022-2 от 27 марта 2022 г.; договор купли-продажи от 19 февраля 2022 г. или иное.</w:t>
      </w:r>
    </w:p>
    <w:p w:rsidR="00B339B0" w:rsidRPr="00B339B0" w:rsidRDefault="00B339B0" w:rsidP="00B339B0">
      <w:pPr>
        <w:numPr>
          <w:ilvl w:val="0"/>
          <w:numId w:val="73"/>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Обязанность сообщать сведения об </w:t>
      </w:r>
      <w:r w:rsidRPr="00B339B0">
        <w:rPr>
          <w:rFonts w:ascii="PT-Astra-Sans-Regular" w:eastAsia="Times New Roman" w:hAnsi="PT-Astra-Sans-Regular" w:cs="Times New Roman"/>
          <w:b/>
          <w:bCs/>
          <w:color w:val="252525"/>
          <w:sz w:val="19"/>
          <w:lang w:eastAsia="ru-RU"/>
        </w:rPr>
        <w:t>источнике средств</w:t>
      </w:r>
      <w:r w:rsidRPr="00B339B0">
        <w:rPr>
          <w:rFonts w:ascii="PT-Astra-Sans-Regular" w:eastAsia="Times New Roman" w:hAnsi="PT-Astra-Sans-Regular" w:cs="Times New Roman"/>
          <w:color w:val="252525"/>
          <w:sz w:val="19"/>
          <w:szCs w:val="19"/>
          <w:lang w:eastAsia="ru-RU"/>
        </w:rPr>
        <w:t>, за счет которых приобретено имущество, находящееся за пределами территории Российской Федерации, распространяется </w:t>
      </w:r>
      <w:r w:rsidRPr="00B339B0">
        <w:rPr>
          <w:rFonts w:ascii="PT-Astra-Sans-Regular" w:eastAsia="Times New Roman" w:hAnsi="PT-Astra-Sans-Regular" w:cs="Times New Roman"/>
          <w:b/>
          <w:bCs/>
          <w:color w:val="252525"/>
          <w:sz w:val="19"/>
          <w:lang w:eastAsia="ru-RU"/>
        </w:rPr>
        <w:t>только</w:t>
      </w:r>
      <w:r w:rsidRPr="00B339B0">
        <w:rPr>
          <w:rFonts w:ascii="PT-Astra-Sans-Regular" w:eastAsia="Times New Roman" w:hAnsi="PT-Astra-Sans-Regular" w:cs="Times New Roman"/>
          <w:color w:val="252525"/>
          <w:sz w:val="19"/>
          <w:szCs w:val="19"/>
          <w:lang w:eastAsia="ru-RU"/>
        </w:rPr>
        <w:t>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1) на лиц, замещающих (занимающих):</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государственные должности Российской Федерации;</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должности первого заместителя и заместителей Генерального прокурора Российской Федерации;</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должности членов Совета директоров Центрального банка Российской Федерации;</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государственные должности субъектов Российской Федерации;</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должности заместителей руководителей федеральных органов исполнительной власти;</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lastRenderedPageBreak/>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2) на супруг (супругов), несовершеннолетних детей лиц, указанных в абзацах втором-десятом подпункта 1 настоящего пункта;</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3) иных лиц в случаях, предусмотренных федеральными законами.</w:t>
      </w:r>
    </w:p>
    <w:p w:rsidR="00B339B0" w:rsidRPr="00B339B0" w:rsidRDefault="00B339B0" w:rsidP="00B339B0">
      <w:pPr>
        <w:numPr>
          <w:ilvl w:val="0"/>
          <w:numId w:val="74"/>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B339B0">
        <w:rPr>
          <w:rFonts w:ascii="PT-Astra-Sans-Regular" w:eastAsia="Times New Roman" w:hAnsi="PT-Astra-Sans-Regular" w:cs="Times New Roman"/>
          <w:b/>
          <w:bCs/>
          <w:color w:val="252525"/>
          <w:sz w:val="19"/>
          <w:lang w:eastAsia="ru-RU"/>
        </w:rPr>
        <w:t>исключительно</w:t>
      </w:r>
      <w:r w:rsidRPr="00B339B0">
        <w:rPr>
          <w:rFonts w:ascii="PT-Astra-Sans-Regular" w:eastAsia="Times New Roman" w:hAnsi="PT-Astra-Sans-Regular" w:cs="Times New Roman"/>
          <w:color w:val="252525"/>
          <w:sz w:val="19"/>
          <w:szCs w:val="19"/>
          <w:lang w:eastAsia="ru-RU"/>
        </w:rPr>
        <w:t> за пределами территории Российской Федерации.</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Сведения о вышеуказанном источнике отображаются в справке ежегодно, вне зависимости от года приобретения имущества.</w:t>
      </w:r>
    </w:p>
    <w:p w:rsidR="00B339B0" w:rsidRPr="00B339B0" w:rsidRDefault="00B339B0" w:rsidP="00B339B0">
      <w:pPr>
        <w:numPr>
          <w:ilvl w:val="0"/>
          <w:numId w:val="75"/>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 (статьи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b/>
          <w:bCs/>
          <w:color w:val="252525"/>
          <w:sz w:val="19"/>
          <w:lang w:eastAsia="ru-RU"/>
        </w:rPr>
        <w:t>Подраздел 3.2. Транспортные средства</w:t>
      </w:r>
    </w:p>
    <w:p w:rsidR="00B339B0" w:rsidRPr="00B339B0" w:rsidRDefault="00B339B0" w:rsidP="00B339B0">
      <w:pPr>
        <w:numPr>
          <w:ilvl w:val="0"/>
          <w:numId w:val="76"/>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переданные в пользование по доверенности, находящиеся в угоне, в залоге у банка, полностью негодные к 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lastRenderedPageBreak/>
        <w:t>Также в данном подразделе подлежат отражению транспортные средства, принадлежащие на праве собственности гражданину, зарегистрированному в качестве индивидуального предпринимателя.</w:t>
      </w:r>
    </w:p>
    <w:p w:rsidR="00B339B0" w:rsidRPr="00B339B0" w:rsidRDefault="00B339B0" w:rsidP="00B339B0">
      <w:pPr>
        <w:numPr>
          <w:ilvl w:val="0"/>
          <w:numId w:val="77"/>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rsidR="00B339B0" w:rsidRPr="00B339B0" w:rsidRDefault="00B339B0" w:rsidP="00B339B0">
      <w:pPr>
        <w:numPr>
          <w:ilvl w:val="0"/>
          <w:numId w:val="77"/>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B339B0" w:rsidRPr="00B339B0" w:rsidRDefault="00B339B0" w:rsidP="00B339B0">
      <w:pPr>
        <w:numPr>
          <w:ilvl w:val="0"/>
          <w:numId w:val="77"/>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2022 года включительно продал легковой автомобиль, а новый собственник зарегистрировал такое транспортное средство только в январе 2023 года, то данный объект не подлежит отражению в подразделе 3.2 раздела 3 справки служащего. При заполнении графы</w:t>
      </w:r>
      <w:r w:rsidRPr="00B339B0">
        <w:rPr>
          <w:rFonts w:ascii="PT-Astra-Sans-Regular" w:eastAsia="Times New Roman" w:hAnsi="PT-Astra-Sans-Regular" w:cs="Times New Roman"/>
          <w:b/>
          <w:bCs/>
          <w:color w:val="252525"/>
          <w:sz w:val="19"/>
          <w:lang w:eastAsia="ru-RU"/>
        </w:rPr>
        <w:t> "Место регистрации" </w:t>
      </w:r>
      <w:r w:rsidRPr="00B339B0">
        <w:rPr>
          <w:rFonts w:ascii="PT-Astra-Sans-Regular" w:eastAsia="Times New Roman" w:hAnsi="PT-Astra-Sans-Regular" w:cs="Times New Roman"/>
          <w:color w:val="252525"/>
          <w:sz w:val="19"/>
          <w:szCs w:val="19"/>
          <w:lang w:eastAsia="ru-RU"/>
        </w:rPr>
        <w:t>указывается наименование органа внутренних дел, осуществившего регистрационный учет транспортного средства, например </w:t>
      </w:r>
      <w:hyperlink r:id="rId17" w:history="1">
        <w:r w:rsidRPr="00B339B0">
          <w:rPr>
            <w:rFonts w:ascii="PT-Astra-Sans-Regular" w:eastAsia="Times New Roman" w:hAnsi="PT-Astra-Sans-Regular" w:cs="Times New Roman"/>
            <w:color w:val="0345BF"/>
            <w:sz w:val="19"/>
            <w:lang w:eastAsia="ru-RU"/>
          </w:rPr>
          <w:t>МО ГИБДД ТНРЭР № 2 ГУ МВД России по г. Москве</w:t>
        </w:r>
      </w:hyperlink>
      <w:r w:rsidRPr="00B339B0">
        <w:rPr>
          <w:rFonts w:ascii="PT-Astra-Sans-Regular" w:eastAsia="Times New Roman" w:hAnsi="PT-Astra-Sans-Regular" w:cs="Times New Roman"/>
          <w:color w:val="252525"/>
          <w:sz w:val="19"/>
          <w:szCs w:val="19"/>
          <w:lang w:eastAsia="ru-RU"/>
        </w:rPr>
        <w:t>, </w:t>
      </w:r>
      <w:hyperlink r:id="rId18" w:history="1">
        <w:r w:rsidRPr="00B339B0">
          <w:rPr>
            <w:rFonts w:ascii="PT-Astra-Sans-Regular" w:eastAsia="Times New Roman" w:hAnsi="PT-Astra-Sans-Regular" w:cs="Times New Roman"/>
            <w:color w:val="0345BF"/>
            <w:sz w:val="19"/>
            <w:lang w:eastAsia="ru-RU"/>
          </w:rPr>
          <w:t>ОГИБДД ММО МВД России "Шалинский</w:t>
        </w:r>
      </w:hyperlink>
      <w:r w:rsidRPr="00B339B0">
        <w:rPr>
          <w:rFonts w:ascii="PT-Astra-Sans-Regular" w:eastAsia="Times New Roman" w:hAnsi="PT-Astra-Sans-Regular" w:cs="Times New Roman"/>
          <w:color w:val="252525"/>
          <w:sz w:val="19"/>
          <w:szCs w:val="19"/>
          <w:lang w:eastAsia="ru-RU"/>
        </w:rPr>
        <w:t>", </w:t>
      </w:r>
      <w:hyperlink r:id="rId19" w:history="1">
        <w:r w:rsidRPr="00B339B0">
          <w:rPr>
            <w:rFonts w:ascii="PT-Astra-Sans-Regular" w:eastAsia="Times New Roman" w:hAnsi="PT-Astra-Sans-Regular" w:cs="Times New Roman"/>
            <w:color w:val="0345BF"/>
            <w:sz w:val="19"/>
            <w:lang w:eastAsia="ru-RU"/>
          </w:rPr>
          <w:t>ОГИБДД ММО МВД России по Новолялинскому району</w:t>
        </w:r>
      </w:hyperlink>
      <w:r w:rsidRPr="00B339B0">
        <w:rPr>
          <w:rFonts w:ascii="PT-Astra-Sans-Regular" w:eastAsia="Times New Roman" w:hAnsi="PT-Astra-Sans-Regular" w:cs="Times New Roman"/>
          <w:color w:val="252525"/>
          <w:sz w:val="19"/>
          <w:szCs w:val="19"/>
          <w:lang w:eastAsia="ru-RU"/>
        </w:rPr>
        <w:t>, 3 отд. МОТОТРЭР ГИБДД УВД по ЦАО г. Москвы и т.д. Указанные данные заполняются согласно официальным документам (например, согласно паспорту транспортного средства).</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Также допускается указание кода подразделения ГИБДД в соответствии со свидетельством о регистрации транспортного средства.</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В случае отсутствия регистрации допускается указать "Отсутствует".</w:t>
      </w:r>
    </w:p>
    <w:p w:rsidR="00B339B0" w:rsidRPr="00B339B0" w:rsidRDefault="00B339B0" w:rsidP="00B339B0">
      <w:pPr>
        <w:numPr>
          <w:ilvl w:val="0"/>
          <w:numId w:val="78"/>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Аналогичным подходом необходимо руководствоваться при указании в данном подразделе водного, воздушного транспорта.</w:t>
      </w:r>
    </w:p>
    <w:p w:rsidR="00B339B0" w:rsidRPr="00B339B0" w:rsidRDefault="00B339B0" w:rsidP="00B339B0">
      <w:pPr>
        <w:numPr>
          <w:ilvl w:val="0"/>
          <w:numId w:val="78"/>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В строке 7 "Иные транспортные средства" подлежат указанию, в частности, прицепы, зарегистрированные в установленном порядке.</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b/>
          <w:bCs/>
          <w:color w:val="252525"/>
          <w:sz w:val="19"/>
          <w:lang w:eastAsia="ru-RU"/>
        </w:rPr>
        <w:t>Подраздел 3.3. Цифровые финансовые активы, цифровые права, включающие одновременно цифровые финансовые активы и иные цифровые права</w:t>
      </w:r>
    </w:p>
    <w:p w:rsidR="00B339B0" w:rsidRPr="00B339B0" w:rsidRDefault="00B339B0" w:rsidP="00B339B0">
      <w:pPr>
        <w:numPr>
          <w:ilvl w:val="0"/>
          <w:numId w:val="79"/>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B339B0" w:rsidRPr="00B339B0" w:rsidRDefault="00B339B0" w:rsidP="00B339B0">
      <w:pPr>
        <w:numPr>
          <w:ilvl w:val="0"/>
          <w:numId w:val="79"/>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 в том числе цифровые финансовые активы, выпущенные в информационных системах, организованных в соответствии с иностранным правом.</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B339B0" w:rsidRPr="00B339B0" w:rsidRDefault="00B339B0" w:rsidP="00B339B0">
      <w:pPr>
        <w:numPr>
          <w:ilvl w:val="0"/>
          <w:numId w:val="80"/>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lastRenderedPageBreak/>
        <w:t>В графе "</w:t>
      </w:r>
      <w:r w:rsidRPr="00B339B0">
        <w:rPr>
          <w:rFonts w:ascii="PT-Astra-Sans-Regular" w:eastAsia="Times New Roman" w:hAnsi="PT-Astra-Sans-Regular" w:cs="Times New Roman"/>
          <w:b/>
          <w:bCs/>
          <w:color w:val="252525"/>
          <w:sz w:val="19"/>
          <w:lang w:eastAsia="ru-RU"/>
        </w:rPr>
        <w:t>Наименование цифрового финансового актива или цифрового права</w:t>
      </w:r>
      <w:r w:rsidRPr="00B339B0">
        <w:rPr>
          <w:rFonts w:ascii="PT-Astra-Sans-Regular" w:eastAsia="Times New Roman" w:hAnsi="PT-Astra-Sans-Regular" w:cs="Times New Roman"/>
          <w:color w:val="252525"/>
          <w:sz w:val="19"/>
          <w:szCs w:val="19"/>
          <w:lang w:eastAsia="ru-RU"/>
        </w:rPr>
        <w:t>"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B339B0" w:rsidRPr="00B339B0" w:rsidRDefault="00B339B0" w:rsidP="00B339B0">
      <w:pPr>
        <w:numPr>
          <w:ilvl w:val="0"/>
          <w:numId w:val="80"/>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В графе "</w:t>
      </w:r>
      <w:r w:rsidRPr="00B339B0">
        <w:rPr>
          <w:rFonts w:ascii="PT-Astra-Sans-Regular" w:eastAsia="Times New Roman" w:hAnsi="PT-Astra-Sans-Regular" w:cs="Times New Roman"/>
          <w:b/>
          <w:bCs/>
          <w:color w:val="252525"/>
          <w:sz w:val="19"/>
          <w:lang w:eastAsia="ru-RU"/>
        </w:rPr>
        <w:t>Дата приобретения</w:t>
      </w:r>
      <w:r w:rsidRPr="00B339B0">
        <w:rPr>
          <w:rFonts w:ascii="PT-Astra-Sans-Regular" w:eastAsia="Times New Roman" w:hAnsi="PT-Astra-Sans-Regular" w:cs="Times New Roman"/>
          <w:color w:val="252525"/>
          <w:sz w:val="19"/>
          <w:szCs w:val="19"/>
          <w:lang w:eastAsia="ru-RU"/>
        </w:rPr>
        <w:t>" указывается дата приобретения цифрового финансового актива, цифрового права, включающего одновременно цифровые финансовые активы и иные цифровые права, или иного цифрового права.</w:t>
      </w:r>
    </w:p>
    <w:p w:rsidR="00B339B0" w:rsidRPr="00B339B0" w:rsidRDefault="00B339B0" w:rsidP="00B339B0">
      <w:pPr>
        <w:numPr>
          <w:ilvl w:val="0"/>
          <w:numId w:val="80"/>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В графе "</w:t>
      </w:r>
      <w:r w:rsidRPr="00B339B0">
        <w:rPr>
          <w:rFonts w:ascii="PT-Astra-Sans-Regular" w:eastAsia="Times New Roman" w:hAnsi="PT-Astra-Sans-Regular" w:cs="Times New Roman"/>
          <w:b/>
          <w:bCs/>
          <w:color w:val="252525"/>
          <w:sz w:val="19"/>
          <w:lang w:eastAsia="ru-RU"/>
        </w:rPr>
        <w:t>Общее количество</w:t>
      </w:r>
      <w:r w:rsidRPr="00B339B0">
        <w:rPr>
          <w:rFonts w:ascii="PT-Astra-Sans-Regular" w:eastAsia="Times New Roman" w:hAnsi="PT-Astra-Sans-Regular" w:cs="Times New Roman"/>
          <w:color w:val="252525"/>
          <w:sz w:val="19"/>
          <w:szCs w:val="19"/>
          <w:lang w:eastAsia="ru-RU"/>
        </w:rPr>
        <w:t>" указывается общее количество приобретенных цифровых финансовых активов, цифровых прав, включающих одновременно цифровые финансовые активы и иные цифровые права, или цифровых прав.</w:t>
      </w:r>
    </w:p>
    <w:p w:rsidR="00B339B0" w:rsidRPr="00B339B0" w:rsidRDefault="00B339B0" w:rsidP="00B339B0">
      <w:pPr>
        <w:numPr>
          <w:ilvl w:val="0"/>
          <w:numId w:val="80"/>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В графе "</w:t>
      </w:r>
      <w:r w:rsidRPr="00B339B0">
        <w:rPr>
          <w:rFonts w:ascii="PT-Astra-Sans-Regular" w:eastAsia="Times New Roman" w:hAnsi="PT-Astra-Sans-Regular" w:cs="Times New Roman"/>
          <w:b/>
          <w:bCs/>
          <w:color w:val="252525"/>
          <w:sz w:val="19"/>
          <w:lang w:eastAsia="ru-RU"/>
        </w:rPr>
        <w:t>Сведения об операторе информационной системы, в которой осуществляется выпуск цифровых финансовых активов</w:t>
      </w:r>
      <w:r w:rsidRPr="00B339B0">
        <w:rPr>
          <w:rFonts w:ascii="PT-Astra-Sans-Regular" w:eastAsia="Times New Roman" w:hAnsi="PT-Astra-Sans-Regular" w:cs="Times New Roman"/>
          <w:color w:val="252525"/>
          <w:sz w:val="19"/>
          <w:szCs w:val="19"/>
          <w:lang w:eastAsia="ru-RU"/>
        </w:rPr>
        <w:t>"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B339B0" w:rsidRPr="00B339B0" w:rsidRDefault="00B339B0" w:rsidP="00B339B0">
      <w:pPr>
        <w:numPr>
          <w:ilvl w:val="0"/>
          <w:numId w:val="80"/>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Реестр российских операторов информационных систем, в которых осуществляется выпуск цифровых финансовых активов, размещен на официальном сайте Банка России по ссылке: </w:t>
      </w:r>
      <w:hyperlink r:id="rId20" w:history="1">
        <w:r w:rsidRPr="00B339B0">
          <w:rPr>
            <w:rFonts w:ascii="PT-Astra-Sans-Regular" w:eastAsia="Times New Roman" w:hAnsi="PT-Astra-Sans-Regular" w:cs="Times New Roman"/>
            <w:color w:val="0345BF"/>
            <w:sz w:val="19"/>
            <w:lang w:eastAsia="ru-RU"/>
          </w:rPr>
          <w:t>https://cbr.ru/vfs/registers/infr/list_OIS.xlsx</w:t>
        </w:r>
      </w:hyperlink>
      <w:r w:rsidRPr="00B339B0">
        <w:rPr>
          <w:rFonts w:ascii="PT-Astra-Sans-Regular" w:eastAsia="Times New Roman" w:hAnsi="PT-Astra-Sans-Regular" w:cs="Times New Roman"/>
          <w:color w:val="252525"/>
          <w:sz w:val="19"/>
          <w:szCs w:val="19"/>
          <w:lang w:eastAsia="ru-RU"/>
        </w:rPr>
        <w:t>.</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 </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b/>
          <w:bCs/>
          <w:color w:val="252525"/>
          <w:sz w:val="19"/>
          <w:lang w:eastAsia="ru-RU"/>
        </w:rPr>
        <w:t>Подраздел 3.4. Утилитарные цифровые права</w:t>
      </w:r>
    </w:p>
    <w:p w:rsidR="00B339B0" w:rsidRPr="00B339B0" w:rsidRDefault="00B339B0" w:rsidP="00B339B0">
      <w:pPr>
        <w:numPr>
          <w:ilvl w:val="0"/>
          <w:numId w:val="81"/>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Частью 1 статьи 8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(утилитарные цифровые права):</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1) право требовать передачи вещи (вещей) (например, право требования золота в слитках при инвестировании в добычу золота);</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(например, право требования передачи прав использования разработанного в рамках договора инвестирования программного обеспечения);</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3) право требовать выполнения работ и (или) оказания услуг (например, право требования оказания гостиничных услуг при инвестировании в строительство гостиницы).</w:t>
      </w:r>
    </w:p>
    <w:p w:rsidR="00B339B0" w:rsidRPr="00B339B0" w:rsidRDefault="00B339B0" w:rsidP="00B339B0">
      <w:pPr>
        <w:numPr>
          <w:ilvl w:val="0"/>
          <w:numId w:val="82"/>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Приобретение утилитарных цифровых прав является одним из способов инвестирования с использованием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rsidR="00B339B0" w:rsidRPr="00B339B0" w:rsidRDefault="00B339B0" w:rsidP="00B339B0">
      <w:pPr>
        <w:numPr>
          <w:ilvl w:val="0"/>
          <w:numId w:val="82"/>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В графе "</w:t>
      </w:r>
      <w:r w:rsidRPr="00B339B0">
        <w:rPr>
          <w:rFonts w:ascii="PT-Astra-Sans-Regular" w:eastAsia="Times New Roman" w:hAnsi="PT-Astra-Sans-Regular" w:cs="Times New Roman"/>
          <w:b/>
          <w:bCs/>
          <w:color w:val="252525"/>
          <w:sz w:val="19"/>
          <w:lang w:eastAsia="ru-RU"/>
        </w:rPr>
        <w:t>Уникальное условное обозначение</w:t>
      </w:r>
      <w:r w:rsidRPr="00B339B0">
        <w:rPr>
          <w:rFonts w:ascii="PT-Astra-Sans-Regular" w:eastAsia="Times New Roman" w:hAnsi="PT-Astra-Sans-Regular" w:cs="Times New Roman"/>
          <w:color w:val="252525"/>
          <w:sz w:val="19"/>
          <w:szCs w:val="19"/>
          <w:lang w:eastAsia="ru-RU"/>
        </w:rPr>
        <w:t>" указывается уникальное условное обозначение, идентифицирующее утилитарное цифровое право.</w:t>
      </w:r>
    </w:p>
    <w:p w:rsidR="00B339B0" w:rsidRPr="00B339B0" w:rsidRDefault="00B339B0" w:rsidP="00B339B0">
      <w:pPr>
        <w:numPr>
          <w:ilvl w:val="0"/>
          <w:numId w:val="82"/>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В графе "</w:t>
      </w:r>
      <w:r w:rsidRPr="00B339B0">
        <w:rPr>
          <w:rFonts w:ascii="PT-Astra-Sans-Regular" w:eastAsia="Times New Roman" w:hAnsi="PT-Astra-Sans-Regular" w:cs="Times New Roman"/>
          <w:b/>
          <w:bCs/>
          <w:color w:val="252525"/>
          <w:sz w:val="19"/>
          <w:lang w:eastAsia="ru-RU"/>
        </w:rPr>
        <w:t>Дата приобретения</w:t>
      </w:r>
      <w:r w:rsidRPr="00B339B0">
        <w:rPr>
          <w:rFonts w:ascii="PT-Astra-Sans-Regular" w:eastAsia="Times New Roman" w:hAnsi="PT-Astra-Sans-Regular" w:cs="Times New Roman"/>
          <w:color w:val="252525"/>
          <w:sz w:val="19"/>
          <w:szCs w:val="19"/>
          <w:lang w:eastAsia="ru-RU"/>
        </w:rPr>
        <w:t>" указывается дата приобретения утилитарного цифрового права.</w:t>
      </w:r>
    </w:p>
    <w:p w:rsidR="00B339B0" w:rsidRPr="00B339B0" w:rsidRDefault="00B339B0" w:rsidP="00B339B0">
      <w:pPr>
        <w:numPr>
          <w:ilvl w:val="0"/>
          <w:numId w:val="82"/>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В графе "</w:t>
      </w:r>
      <w:r w:rsidRPr="00B339B0">
        <w:rPr>
          <w:rFonts w:ascii="PT-Astra-Sans-Regular" w:eastAsia="Times New Roman" w:hAnsi="PT-Astra-Sans-Regular" w:cs="Times New Roman"/>
          <w:b/>
          <w:bCs/>
          <w:color w:val="252525"/>
          <w:sz w:val="19"/>
          <w:lang w:eastAsia="ru-RU"/>
        </w:rPr>
        <w:t>Объем инвестиций (руб.)</w:t>
      </w:r>
      <w:r w:rsidRPr="00B339B0">
        <w:rPr>
          <w:rFonts w:ascii="PT-Astra-Sans-Regular" w:eastAsia="Times New Roman" w:hAnsi="PT-Astra-Sans-Regular" w:cs="Times New Roman"/>
          <w:color w:val="252525"/>
          <w:sz w:val="19"/>
          <w:szCs w:val="19"/>
          <w:lang w:eastAsia="ru-RU"/>
        </w:rPr>
        <w:t>" указывается объем инвестиций в рублях в соответствии с договором инвестирования. Инвестиции, выраженные в иностранной валюте, указываются в рублях по курсу Банка России на дату их осуществления (с учетом положений пункта 50 настоящих Методических рекомендаций).</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Под инвестициями в соответствии с пунктом 2 части 1 статьи 2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B339B0" w:rsidRPr="00B339B0" w:rsidRDefault="00B339B0" w:rsidP="00B339B0">
      <w:pPr>
        <w:numPr>
          <w:ilvl w:val="0"/>
          <w:numId w:val="83"/>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lastRenderedPageBreak/>
        <w:t>В графе "</w:t>
      </w:r>
      <w:r w:rsidRPr="00B339B0">
        <w:rPr>
          <w:rFonts w:ascii="PT-Astra-Sans-Regular" w:eastAsia="Times New Roman" w:hAnsi="PT-Astra-Sans-Regular" w:cs="Times New Roman"/>
          <w:b/>
          <w:bCs/>
          <w:color w:val="252525"/>
          <w:sz w:val="19"/>
          <w:lang w:eastAsia="ru-RU"/>
        </w:rPr>
        <w:t>Сведения об операторе инвестиционной платформы</w:t>
      </w:r>
      <w:r w:rsidRPr="00B339B0">
        <w:rPr>
          <w:rFonts w:ascii="PT-Astra-Sans-Regular" w:eastAsia="Times New Roman" w:hAnsi="PT-Astra-Sans-Regular" w:cs="Times New Roman"/>
          <w:color w:val="252525"/>
          <w:sz w:val="19"/>
          <w:szCs w:val="19"/>
          <w:lang w:eastAsia="ru-RU"/>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Реестр операторов инвестиционных платформ размещен на официальном сайте Банка России по ссылке: </w:t>
      </w:r>
      <w:hyperlink r:id="rId21" w:history="1">
        <w:r w:rsidRPr="00B339B0">
          <w:rPr>
            <w:rFonts w:ascii="PT-Astra-Sans-Regular" w:eastAsia="Times New Roman" w:hAnsi="PT-Astra-Sans-Regular" w:cs="Times New Roman"/>
            <w:color w:val="0345BF"/>
            <w:sz w:val="19"/>
            <w:lang w:eastAsia="ru-RU"/>
          </w:rPr>
          <w:t>http://www.cbr.ru/vfs/registers/infr/list_invest_platform_op.xlsx</w:t>
        </w:r>
      </w:hyperlink>
      <w:r w:rsidRPr="00B339B0">
        <w:rPr>
          <w:rFonts w:ascii="PT-Astra-Sans-Regular" w:eastAsia="Times New Roman" w:hAnsi="PT-Astra-Sans-Regular" w:cs="Times New Roman"/>
          <w:color w:val="252525"/>
          <w:sz w:val="19"/>
          <w:szCs w:val="19"/>
          <w:lang w:eastAsia="ru-RU"/>
        </w:rPr>
        <w:t>.</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b/>
          <w:bCs/>
          <w:color w:val="252525"/>
          <w:sz w:val="19"/>
          <w:lang w:eastAsia="ru-RU"/>
        </w:rPr>
        <w:t>Подраздел 3.5. Цифровая валюта</w:t>
      </w:r>
    </w:p>
    <w:p w:rsidR="00B339B0" w:rsidRPr="00B339B0" w:rsidRDefault="00B339B0" w:rsidP="00B339B0">
      <w:pPr>
        <w:numPr>
          <w:ilvl w:val="0"/>
          <w:numId w:val="84"/>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B339B0" w:rsidRPr="00B339B0" w:rsidRDefault="00B339B0" w:rsidP="00B339B0">
      <w:pPr>
        <w:numPr>
          <w:ilvl w:val="0"/>
          <w:numId w:val="84"/>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rsidR="00B339B0" w:rsidRPr="00B339B0" w:rsidRDefault="00B339B0" w:rsidP="00B339B0">
      <w:pPr>
        <w:numPr>
          <w:ilvl w:val="0"/>
          <w:numId w:val="84"/>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Примерами цифровой валюты являются: Биткоин (BTC), Эфириум (ETH), Тезер (USDT) и др.</w:t>
      </w:r>
    </w:p>
    <w:p w:rsidR="00B339B0" w:rsidRPr="00B339B0" w:rsidRDefault="00B339B0" w:rsidP="00B339B0">
      <w:pPr>
        <w:numPr>
          <w:ilvl w:val="0"/>
          <w:numId w:val="84"/>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В графе "</w:t>
      </w:r>
      <w:r w:rsidRPr="00B339B0">
        <w:rPr>
          <w:rFonts w:ascii="PT-Astra-Sans-Regular" w:eastAsia="Times New Roman" w:hAnsi="PT-Astra-Sans-Regular" w:cs="Times New Roman"/>
          <w:b/>
          <w:bCs/>
          <w:color w:val="252525"/>
          <w:sz w:val="19"/>
          <w:lang w:eastAsia="ru-RU"/>
        </w:rPr>
        <w:t>Наименование цифровой валюты</w:t>
      </w:r>
      <w:r w:rsidRPr="00B339B0">
        <w:rPr>
          <w:rFonts w:ascii="PT-Astra-Sans-Regular" w:eastAsia="Times New Roman" w:hAnsi="PT-Astra-Sans-Regular" w:cs="Times New Roman"/>
          <w:color w:val="252525"/>
          <w:sz w:val="19"/>
          <w:szCs w:val="19"/>
          <w:lang w:eastAsia="ru-RU"/>
        </w:rPr>
        <w:t>" указывается наименование цифровой валюты в соответствии с применимыми документами (без произвольной транслитерации).</w:t>
      </w:r>
    </w:p>
    <w:p w:rsidR="00B339B0" w:rsidRPr="00B339B0" w:rsidRDefault="00B339B0" w:rsidP="00B339B0">
      <w:pPr>
        <w:numPr>
          <w:ilvl w:val="0"/>
          <w:numId w:val="84"/>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В графе "</w:t>
      </w:r>
      <w:r w:rsidRPr="00B339B0">
        <w:rPr>
          <w:rFonts w:ascii="PT-Astra-Sans-Regular" w:eastAsia="Times New Roman" w:hAnsi="PT-Astra-Sans-Regular" w:cs="Times New Roman"/>
          <w:b/>
          <w:bCs/>
          <w:color w:val="252525"/>
          <w:sz w:val="19"/>
          <w:lang w:eastAsia="ru-RU"/>
        </w:rPr>
        <w:t>Дата приобретения</w:t>
      </w:r>
      <w:r w:rsidRPr="00B339B0">
        <w:rPr>
          <w:rFonts w:ascii="PT-Astra-Sans-Regular" w:eastAsia="Times New Roman" w:hAnsi="PT-Astra-Sans-Regular" w:cs="Times New Roman"/>
          <w:color w:val="252525"/>
          <w:sz w:val="19"/>
          <w:szCs w:val="19"/>
          <w:lang w:eastAsia="ru-RU"/>
        </w:rPr>
        <w:t>" указывается дата приобретения цифровой валюты.</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w:t>
      </w:r>
      <w:r w:rsidRPr="00B339B0">
        <w:rPr>
          <w:rFonts w:ascii="PT-Astra-Sans-Regular" w:eastAsia="Times New Roman" w:hAnsi="PT-Astra-Sans-Regular" w:cs="Times New Roman"/>
          <w:b/>
          <w:bCs/>
          <w:color w:val="252525"/>
          <w:sz w:val="19"/>
          <w:lang w:eastAsia="ru-RU"/>
        </w:rPr>
        <w:t>Дата приобретения</w:t>
      </w:r>
      <w:r w:rsidRPr="00B339B0">
        <w:rPr>
          <w:rFonts w:ascii="PT-Astra-Sans-Regular" w:eastAsia="Times New Roman" w:hAnsi="PT-Astra-Sans-Regular" w:cs="Times New Roman"/>
          <w:color w:val="252525"/>
          <w:sz w:val="19"/>
          <w:szCs w:val="19"/>
          <w:lang w:eastAsia="ru-RU"/>
        </w:rPr>
        <w:t>" цифровой валюты может совпадать с датой транзакции, то есть с датой передачи цифровой валюты от одного лица другому.</w:t>
      </w:r>
    </w:p>
    <w:p w:rsidR="00B339B0" w:rsidRPr="00B339B0" w:rsidRDefault="00B339B0" w:rsidP="00B339B0">
      <w:pPr>
        <w:numPr>
          <w:ilvl w:val="0"/>
          <w:numId w:val="85"/>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В графе "</w:t>
      </w:r>
      <w:r w:rsidRPr="00B339B0">
        <w:rPr>
          <w:rFonts w:ascii="PT-Astra-Sans-Regular" w:eastAsia="Times New Roman" w:hAnsi="PT-Astra-Sans-Regular" w:cs="Times New Roman"/>
          <w:b/>
          <w:bCs/>
          <w:color w:val="252525"/>
          <w:sz w:val="19"/>
          <w:lang w:eastAsia="ru-RU"/>
        </w:rPr>
        <w:t>Общее количество</w:t>
      </w:r>
      <w:r w:rsidRPr="00B339B0">
        <w:rPr>
          <w:rFonts w:ascii="PT-Astra-Sans-Regular" w:eastAsia="Times New Roman" w:hAnsi="PT-Astra-Sans-Regular" w:cs="Times New Roman"/>
          <w:color w:val="252525"/>
          <w:sz w:val="19"/>
          <w:szCs w:val="19"/>
          <w:lang w:eastAsia="ru-RU"/>
        </w:rPr>
        <w:t>" указывается точное количество цифровой валюты, находящейся в собственности (без округления).</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 </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 </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 </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 </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b/>
          <w:bCs/>
          <w:color w:val="252525"/>
          <w:sz w:val="19"/>
          <w:lang w:eastAsia="ru-RU"/>
        </w:rPr>
        <w:t>РАЗДЕЛ 4. СВЕДЕНИЯ О СЧЕТАХ В БАНКАХ И ИНЫХ КРЕДИТНЫХ ОРГАНИЗАЦИЯХ</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b/>
          <w:bCs/>
          <w:color w:val="252525"/>
          <w:sz w:val="19"/>
          <w:lang w:eastAsia="ru-RU"/>
        </w:rPr>
        <w:t> </w:t>
      </w:r>
    </w:p>
    <w:p w:rsidR="00B339B0" w:rsidRPr="00B339B0" w:rsidRDefault="00B339B0" w:rsidP="00B339B0">
      <w:pPr>
        <w:numPr>
          <w:ilvl w:val="0"/>
          <w:numId w:val="86"/>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B339B0" w:rsidRPr="00B339B0" w:rsidRDefault="00B339B0" w:rsidP="00B339B0">
      <w:pPr>
        <w:numPr>
          <w:ilvl w:val="0"/>
          <w:numId w:val="86"/>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В частности, подлежит указанию информация о следующих открытых счетах (в том числе по счетам, к которым не эмитированы (не выпущены) платежные карты):</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1) счета с нулевым остатком по состоянию на отчетную дату;</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 в том числе в случаях окончания срока действия этих карт (их блокировки), если при этом счет не был закрыт;</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3) счета (вклады) в иностранных банках, расположенных за пределами Российской Федерации.</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lastRenderedPageBreak/>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4) счета, открытые для погашения кредита;</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5) вклады (счета) в драгоценных металлах (в том числе указывается вид счета и металл, в котором он открыт);</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6) счета, открытые гражданам, зарегистрированным в качестве индивидуальных предпринимателей. При этом прилагать выписку о движении денежных средств по расчетному счету индивидуального предпринимателя не требуется;</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7) номинальный счет;</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8) счет эскроу.</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Сведения об учетных ценах на аффинированные драгоценные металлы, устанавливаемых Банком России, размещены на его официальном сайте: </w:t>
      </w:r>
      <w:hyperlink r:id="rId22" w:history="1">
        <w:r w:rsidRPr="00B339B0">
          <w:rPr>
            <w:rFonts w:ascii="PT-Astra-Sans-Regular" w:eastAsia="Times New Roman" w:hAnsi="PT-Astra-Sans-Regular" w:cs="Times New Roman"/>
            <w:color w:val="0345BF"/>
            <w:sz w:val="19"/>
            <w:lang w:eastAsia="ru-RU"/>
          </w:rPr>
          <w:t>https://www.cbr.ru/hd_base/metall/metall_base_new/</w:t>
        </w:r>
      </w:hyperlink>
      <w:r w:rsidRPr="00B339B0">
        <w:rPr>
          <w:rFonts w:ascii="PT-Astra-Sans-Regular" w:eastAsia="Times New Roman" w:hAnsi="PT-Astra-Sans-Regular" w:cs="Times New Roman"/>
          <w:color w:val="252525"/>
          <w:sz w:val="19"/>
          <w:szCs w:val="19"/>
          <w:lang w:eastAsia="ru-RU"/>
        </w:rPr>
        <w:t>.</w:t>
      </w:r>
    </w:p>
    <w:p w:rsidR="00B339B0" w:rsidRPr="00B339B0" w:rsidRDefault="00B339B0" w:rsidP="00B339B0">
      <w:pPr>
        <w:numPr>
          <w:ilvl w:val="0"/>
          <w:numId w:val="87"/>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С учетом целей антикоррупционного законодательства Российской Федерации в данном разделе не указываются следующие счета:</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1) счета, закрытые по состоянию на отчетную дату;</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3) публичные депозитные счета нотариуса;</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5) счета доверительного управления;</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6) открываемые не на основании гражданско-правового договора счета, счета депо, счета брокера, индивидуальные инвестиционные счета;</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подпунктом 4 пункта 205 настоящих Методических рекомендаций.</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7) синтетические счета.</w:t>
      </w:r>
    </w:p>
    <w:p w:rsidR="00B339B0" w:rsidRPr="00B339B0" w:rsidRDefault="00B339B0" w:rsidP="00B339B0">
      <w:pPr>
        <w:numPr>
          <w:ilvl w:val="0"/>
          <w:numId w:val="88"/>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rsidR="00B339B0" w:rsidRPr="00B339B0" w:rsidRDefault="00B339B0" w:rsidP="00B339B0">
      <w:pPr>
        <w:numPr>
          <w:ilvl w:val="0"/>
          <w:numId w:val="89"/>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lastRenderedPageBreak/>
        <w:t>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rsidR="00B339B0" w:rsidRPr="00B339B0" w:rsidRDefault="00B339B0" w:rsidP="00B339B0">
      <w:pPr>
        <w:numPr>
          <w:ilvl w:val="0"/>
          <w:numId w:val="89"/>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вкладам (депозитам)".</w:t>
      </w:r>
    </w:p>
    <w:p w:rsidR="00B339B0" w:rsidRPr="00B339B0" w:rsidRDefault="00B339B0" w:rsidP="00B339B0">
      <w:pPr>
        <w:numPr>
          <w:ilvl w:val="0"/>
          <w:numId w:val="89"/>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В соответствии с указанной Инструкцией и с учетом пунктов 147 и 148 настоящих Методических рекомендаций физическим лицам открываются следующие применимые для целей представления Сведений счета:</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Счет такой карты, как правило, текущий;</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w:t>
      </w:r>
    </w:p>
    <w:p w:rsidR="00B339B0" w:rsidRPr="00B339B0" w:rsidRDefault="00B339B0" w:rsidP="00B339B0">
      <w:pPr>
        <w:numPr>
          <w:ilvl w:val="0"/>
          <w:numId w:val="90"/>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В графе "Дата открытия счета" не допускается указание даты выпуска (перевыпуска) платежной карты.</w:t>
      </w:r>
    </w:p>
    <w:p w:rsidR="00B339B0" w:rsidRPr="00B339B0" w:rsidRDefault="00B339B0" w:rsidP="00B339B0">
      <w:pPr>
        <w:numPr>
          <w:ilvl w:val="0"/>
          <w:numId w:val="90"/>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Графа "Остаток на счете" заполняется по состоянию на отчетную дату.</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5 раздела 4 справки в полом объеме.</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Для счетов в иностранной валюте остаток указывается в рублях по курсу Банка России на отчетную дату (с учетом положений пункта 50 настоящих Методических рекомендаций).</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rsidR="00B339B0" w:rsidRPr="00B339B0" w:rsidRDefault="00B339B0" w:rsidP="00B339B0">
      <w:pPr>
        <w:numPr>
          <w:ilvl w:val="0"/>
          <w:numId w:val="91"/>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Графа "Сумма поступивших на счет денежных средств" до 1 июля 2023 года заполняется </w:t>
      </w:r>
      <w:r w:rsidRPr="00B339B0">
        <w:rPr>
          <w:rFonts w:ascii="PT-Astra-Sans-Regular" w:eastAsia="Times New Roman" w:hAnsi="PT-Astra-Sans-Regular" w:cs="Times New Roman"/>
          <w:b/>
          <w:bCs/>
          <w:color w:val="252525"/>
          <w:sz w:val="19"/>
          <w:lang w:eastAsia="ru-RU"/>
        </w:rPr>
        <w:t>только</w:t>
      </w:r>
      <w:r w:rsidRPr="00B339B0">
        <w:rPr>
          <w:rFonts w:ascii="PT-Astra-Sans-Regular" w:eastAsia="Times New Roman" w:hAnsi="PT-Astra-Sans-Regular" w:cs="Times New Roman"/>
          <w:color w:val="252525"/>
          <w:sz w:val="19"/>
          <w:szCs w:val="19"/>
          <w:lang w:eastAsia="ru-RU"/>
        </w:rPr>
        <w:t>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2023 году указывается общая сумма денежных средств, поступивших на конкретный счет в 2022 году, если эта сумма превышает общий доход служащего (работника) и его супруги (супруга) за 2020, 2021 и 2022 годы. В этом случае к справке прилагается выписка о движении денежных средств по данному счету за отчетный период.</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По счету в драгоценных металлах данная графа не заполняется.</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w:t>
      </w:r>
      <w:r w:rsidRPr="00B339B0">
        <w:rPr>
          <w:rFonts w:ascii="MS Mincho" w:eastAsia="MS Mincho" w:hAnsi="MS Mincho" w:cs="MS Mincho" w:hint="eastAsia"/>
          <w:color w:val="252525"/>
          <w:sz w:val="19"/>
          <w:szCs w:val="19"/>
          <w:lang w:eastAsia="ru-RU"/>
        </w:rPr>
        <w:t>✓</w:t>
      </w:r>
      <w:r w:rsidRPr="00B339B0">
        <w:rPr>
          <w:rFonts w:ascii="Times New Roman" w:eastAsia="Times New Roman" w:hAnsi="Times New Roman" w:cs="Times New Roman"/>
          <w:color w:val="252525"/>
          <w:sz w:val="19"/>
          <w:szCs w:val="19"/>
          <w:lang w:eastAsia="ru-RU"/>
        </w:rPr>
        <w:t>] напротив соответствующей позиции. В противном случае необходимо заполнить соответствующие графы.</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 xml:space="preserve">С 1 июля 2023 года указываются суммы денежных средств, поступивших на счета за отчетный период, в случае если общая сумма таких денежных средств превышает общий доход служащего (работника), его супруги </w:t>
      </w:r>
      <w:r w:rsidRPr="00B339B0">
        <w:rPr>
          <w:rFonts w:ascii="PT-Astra-Sans-Regular" w:eastAsia="Times New Roman" w:hAnsi="PT-Astra-Sans-Regular" w:cs="Times New Roman"/>
          <w:color w:val="252525"/>
          <w:sz w:val="19"/>
          <w:szCs w:val="19"/>
          <w:lang w:eastAsia="ru-RU"/>
        </w:rPr>
        <w:lastRenderedPageBreak/>
        <w:t>(супруга) и несовершеннолетних детей за отчетный период и предшествующие два года. В этом случае к справке прилагаются выписки о движении денежных средств по счетам за отчетный период.</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доходами в предыдущие годы.</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Для счетов в иностранной валюте сумма указывается в рублях по курсу Банка России на отчетную дату (с учетом положений пункта 50 настоящих Методических рекомендаций).</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b/>
          <w:bCs/>
          <w:color w:val="252525"/>
          <w:sz w:val="19"/>
          <w:lang w:eastAsia="ru-RU"/>
        </w:rPr>
        <w:t>Совместный счет</w:t>
      </w:r>
    </w:p>
    <w:p w:rsidR="00B339B0" w:rsidRPr="00B339B0" w:rsidRDefault="00B339B0" w:rsidP="00B339B0">
      <w:pPr>
        <w:numPr>
          <w:ilvl w:val="0"/>
          <w:numId w:val="92"/>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В данном случае в каждой подаваемой справке представляется идентичная информация о таком счете.</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b/>
          <w:bCs/>
          <w:color w:val="252525"/>
          <w:sz w:val="19"/>
          <w:lang w:eastAsia="ru-RU"/>
        </w:rPr>
        <w:t>Кредитные карты, карты с овердрафтом</w:t>
      </w:r>
    </w:p>
    <w:p w:rsidR="00B339B0" w:rsidRPr="00B339B0" w:rsidRDefault="00B339B0" w:rsidP="00B339B0">
      <w:pPr>
        <w:numPr>
          <w:ilvl w:val="0"/>
          <w:numId w:val="93"/>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Банк (иная кредитная организация) выпускает следующие виды карт (таблица № 5):</w:t>
      </w:r>
    </w:p>
    <w:tbl>
      <w:tblPr>
        <w:tblW w:w="8280" w:type="dxa"/>
        <w:shd w:val="clear" w:color="auto" w:fill="FFFFFF"/>
        <w:tblCellMar>
          <w:top w:w="15" w:type="dxa"/>
          <w:left w:w="15" w:type="dxa"/>
          <w:bottom w:w="15" w:type="dxa"/>
          <w:right w:w="15" w:type="dxa"/>
        </w:tblCellMar>
        <w:tblLook w:val="04A0"/>
      </w:tblPr>
      <w:tblGrid>
        <w:gridCol w:w="1704"/>
        <w:gridCol w:w="6576"/>
      </w:tblGrid>
      <w:tr w:rsidR="00B339B0" w:rsidRPr="00B339B0" w:rsidTr="00B339B0">
        <w:tc>
          <w:tcPr>
            <w:tcW w:w="1704" w:type="dxa"/>
            <w:shd w:val="clear" w:color="auto" w:fill="FFFFFF"/>
            <w:vAlign w:val="center"/>
            <w:hideMark/>
          </w:tcPr>
          <w:p w:rsidR="00B339B0" w:rsidRPr="00B339B0" w:rsidRDefault="00B339B0" w:rsidP="00B339B0">
            <w:pPr>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Расчетная (дебетовая)</w:t>
            </w:r>
          </w:p>
        </w:tc>
        <w:tc>
          <w:tcPr>
            <w:tcW w:w="6576" w:type="dxa"/>
            <w:shd w:val="clear" w:color="auto" w:fill="FFFFFF"/>
            <w:vAlign w:val="center"/>
            <w:hideMark/>
          </w:tcPr>
          <w:p w:rsidR="00B339B0" w:rsidRPr="00B339B0" w:rsidRDefault="00B339B0" w:rsidP="00B339B0">
            <w:pPr>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B339B0" w:rsidRPr="00B339B0" w:rsidTr="00B339B0">
        <w:tc>
          <w:tcPr>
            <w:tcW w:w="1704" w:type="dxa"/>
            <w:shd w:val="clear" w:color="auto" w:fill="FFFFFF"/>
            <w:vAlign w:val="center"/>
            <w:hideMark/>
          </w:tcPr>
          <w:p w:rsidR="00B339B0" w:rsidRPr="00B339B0" w:rsidRDefault="00B339B0" w:rsidP="00B339B0">
            <w:pPr>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Кредитная</w:t>
            </w:r>
          </w:p>
        </w:tc>
        <w:tc>
          <w:tcPr>
            <w:tcW w:w="6576" w:type="dxa"/>
            <w:shd w:val="clear" w:color="auto" w:fill="FFFFFF"/>
            <w:vAlign w:val="center"/>
            <w:hideMark/>
          </w:tcPr>
          <w:p w:rsidR="00B339B0" w:rsidRPr="00B339B0" w:rsidRDefault="00B339B0" w:rsidP="00B339B0">
            <w:pPr>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B339B0" w:rsidRPr="00B339B0" w:rsidRDefault="00B339B0" w:rsidP="00B339B0">
      <w:pPr>
        <w:numPr>
          <w:ilvl w:val="0"/>
          <w:numId w:val="94"/>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Расчетная (дебетовая) и, как правило, кредитные карты предполагают открытие и ведение банком (иной кредитной организацией) счета.</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Кроме того, необходимо обращать внимание, что в настоящее время в рамках маркетинговых продуктов, иных программ повышения лояльности клиентам могут открываться банковские счета, которые могут предусматривать необходимость отражения сведений о них в настоящем разделе справки.</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23" w:history="1">
        <w:r w:rsidRPr="00B339B0">
          <w:rPr>
            <w:rFonts w:ascii="PT-Astra-Sans-Regular" w:eastAsia="Times New Roman" w:hAnsi="PT-Astra-Sans-Regular" w:cs="Times New Roman"/>
            <w:color w:val="0345BF"/>
            <w:sz w:val="19"/>
            <w:lang w:eastAsia="ru-RU"/>
          </w:rPr>
          <w:t>https://www.nalog.ru/rn77/related_activities/accounting/bank_account/</w:t>
        </w:r>
      </w:hyperlink>
      <w:r w:rsidRPr="00B339B0">
        <w:rPr>
          <w:rFonts w:ascii="PT-Astra-Sans-Regular" w:eastAsia="Times New Roman" w:hAnsi="PT-Astra-Sans-Regular" w:cs="Times New Roman"/>
          <w:color w:val="252525"/>
          <w:sz w:val="19"/>
          <w:szCs w:val="19"/>
          <w:lang w:eastAsia="ru-RU"/>
        </w:rPr>
        <w:t>.</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rsidR="00B339B0" w:rsidRPr="00B339B0" w:rsidRDefault="00B339B0" w:rsidP="00B339B0">
      <w:pPr>
        <w:numPr>
          <w:ilvl w:val="0"/>
          <w:numId w:val="95"/>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rsidR="00B339B0" w:rsidRPr="00B339B0" w:rsidRDefault="00B339B0" w:rsidP="00B339B0">
      <w:pPr>
        <w:numPr>
          <w:ilvl w:val="0"/>
          <w:numId w:val="95"/>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lastRenderedPageBreak/>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rsidR="00B339B0" w:rsidRPr="00B339B0" w:rsidRDefault="00B339B0" w:rsidP="00B339B0">
      <w:pPr>
        <w:numPr>
          <w:ilvl w:val="0"/>
          <w:numId w:val="95"/>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B339B0" w:rsidRPr="00B339B0" w:rsidRDefault="00B339B0" w:rsidP="00B339B0">
      <w:pPr>
        <w:numPr>
          <w:ilvl w:val="0"/>
          <w:numId w:val="95"/>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B339B0" w:rsidRPr="00B339B0" w:rsidRDefault="00B339B0" w:rsidP="00B339B0">
      <w:pPr>
        <w:numPr>
          <w:ilvl w:val="0"/>
          <w:numId w:val="95"/>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Следует обращать внимание, что основанием закрытия счета является прекращение договора счета в установленном порядке или соглашение сторон.</w:t>
      </w:r>
    </w:p>
    <w:p w:rsidR="00B339B0" w:rsidRPr="00B339B0" w:rsidRDefault="00B339B0" w:rsidP="00B339B0">
      <w:pPr>
        <w:numPr>
          <w:ilvl w:val="0"/>
          <w:numId w:val="95"/>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В данном разделе </w:t>
      </w:r>
      <w:r w:rsidRPr="00B339B0">
        <w:rPr>
          <w:rFonts w:ascii="PT-Astra-Sans-Regular" w:eastAsia="Times New Roman" w:hAnsi="PT-Astra-Sans-Regular" w:cs="Times New Roman"/>
          <w:b/>
          <w:bCs/>
          <w:color w:val="252525"/>
          <w:sz w:val="19"/>
          <w:lang w:eastAsia="ru-RU"/>
        </w:rPr>
        <w:t>не указываются счета</w:t>
      </w:r>
      <w:r w:rsidRPr="00B339B0">
        <w:rPr>
          <w:rFonts w:ascii="PT-Astra-Sans-Regular" w:eastAsia="Times New Roman" w:hAnsi="PT-Astra-Sans-Regular" w:cs="Times New Roman"/>
          <w:color w:val="252525"/>
          <w:sz w:val="19"/>
          <w:szCs w:val="19"/>
          <w:lang w:eastAsia="ru-RU"/>
        </w:rPr>
        <w:t>, связанные с учетом задолженности и платежей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средств платежа ("электронных кошельков") (например "ЮMoney", "Qiwi кошелек" и др.).</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b/>
          <w:bCs/>
          <w:color w:val="252525"/>
          <w:sz w:val="19"/>
          <w:lang w:eastAsia="ru-RU"/>
        </w:rPr>
        <w:t>Отзыв лицензии у кредитной организации</w:t>
      </w:r>
    </w:p>
    <w:p w:rsidR="00B339B0" w:rsidRPr="00B339B0" w:rsidRDefault="00B339B0" w:rsidP="00B339B0">
      <w:pPr>
        <w:numPr>
          <w:ilvl w:val="0"/>
          <w:numId w:val="96"/>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w:t>
      </w:r>
    </w:p>
    <w:p w:rsidR="00B339B0" w:rsidRPr="00B339B0" w:rsidRDefault="00B339B0" w:rsidP="00B339B0">
      <w:pPr>
        <w:numPr>
          <w:ilvl w:val="0"/>
          <w:numId w:val="96"/>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rsidR="00B339B0" w:rsidRPr="00B339B0" w:rsidRDefault="00B339B0" w:rsidP="00B339B0">
      <w:pPr>
        <w:numPr>
          <w:ilvl w:val="0"/>
          <w:numId w:val="96"/>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До момента закрытия соответствующего счета, счет считается открытым и подлежит отражению в разделе 4 справки.</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b/>
          <w:bCs/>
          <w:color w:val="252525"/>
          <w:sz w:val="19"/>
          <w:lang w:eastAsia="ru-RU"/>
        </w:rPr>
        <w:t>Ликвидация кредитной организации</w:t>
      </w:r>
    </w:p>
    <w:p w:rsidR="00B339B0" w:rsidRPr="00B339B0" w:rsidRDefault="00B339B0" w:rsidP="00B339B0">
      <w:pPr>
        <w:numPr>
          <w:ilvl w:val="0"/>
          <w:numId w:val="97"/>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B339B0" w:rsidRPr="00B339B0" w:rsidRDefault="00B339B0" w:rsidP="00B339B0">
      <w:pPr>
        <w:numPr>
          <w:ilvl w:val="0"/>
          <w:numId w:val="97"/>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24" w:history="1">
        <w:r w:rsidRPr="00B339B0">
          <w:rPr>
            <w:rFonts w:ascii="PT-Astra-Sans-Regular" w:eastAsia="Times New Roman" w:hAnsi="PT-Astra-Sans-Regular" w:cs="Times New Roman"/>
            <w:color w:val="0345BF"/>
            <w:sz w:val="19"/>
            <w:lang w:eastAsia="ru-RU"/>
          </w:rPr>
          <w:t>https://www.cbr.ru/banking_sector/likvidbase/</w:t>
        </w:r>
      </w:hyperlink>
      <w:r w:rsidRPr="00B339B0">
        <w:rPr>
          <w:rFonts w:ascii="PT-Astra-Sans-Regular" w:eastAsia="Times New Roman" w:hAnsi="PT-Astra-Sans-Regular" w:cs="Times New Roman"/>
          <w:color w:val="252525"/>
          <w:sz w:val="19"/>
          <w:szCs w:val="19"/>
          <w:lang w:eastAsia="ru-RU"/>
        </w:rPr>
        <w:t>.</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 </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b/>
          <w:bCs/>
          <w:color w:val="252525"/>
          <w:sz w:val="19"/>
          <w:lang w:eastAsia="ru-RU"/>
        </w:rPr>
        <w:t>РАЗДЕЛ 5. СВЕДЕНИЯ О ЦЕННЫХ БУМАГАХ</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 </w:t>
      </w:r>
    </w:p>
    <w:p w:rsidR="00B339B0" w:rsidRPr="00B339B0" w:rsidRDefault="00B339B0" w:rsidP="00B339B0">
      <w:pPr>
        <w:numPr>
          <w:ilvl w:val="0"/>
          <w:numId w:val="98"/>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5 "Доход от ценных бумаг и долей участия в коммерческих организациях").</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lastRenderedPageBreak/>
        <w:t>Государственный сертификат на материнский (семейный) капитал не является ценной бумагой и не подлежит указанию в разделе 5 справки.</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b/>
          <w:bCs/>
          <w:color w:val="252525"/>
          <w:sz w:val="19"/>
          <w:lang w:eastAsia="ru-RU"/>
        </w:rPr>
        <w:t>Подраздел 5.1. Акции и иное участие в коммерческих организациях и фондах</w:t>
      </w:r>
    </w:p>
    <w:p w:rsidR="00B339B0" w:rsidRPr="00B339B0" w:rsidRDefault="00B339B0" w:rsidP="00B339B0">
      <w:pPr>
        <w:numPr>
          <w:ilvl w:val="0"/>
          <w:numId w:val="99"/>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В соответствии с Федеральным законом от 22 апреля 1996 г.</w:t>
      </w:r>
      <w:r w:rsidRPr="00B339B0">
        <w:rPr>
          <w:rFonts w:ascii="PT-Astra-Sans-Regular" w:eastAsia="Times New Roman" w:hAnsi="PT-Astra-Sans-Regular" w:cs="Times New Roman"/>
          <w:color w:val="252525"/>
          <w:sz w:val="19"/>
          <w:szCs w:val="19"/>
          <w:lang w:eastAsia="ru-RU"/>
        </w:rPr>
        <w:br/>
        <w:t>№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w:t>
      </w:r>
    </w:p>
    <w:p w:rsidR="00B339B0" w:rsidRPr="00B339B0" w:rsidRDefault="00B339B0" w:rsidP="00B339B0">
      <w:pPr>
        <w:numPr>
          <w:ilvl w:val="0"/>
          <w:numId w:val="99"/>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В графе </w:t>
      </w:r>
      <w:r w:rsidRPr="00B339B0">
        <w:rPr>
          <w:rFonts w:ascii="PT-Astra-Sans-Regular" w:eastAsia="Times New Roman" w:hAnsi="PT-Astra-Sans-Regular" w:cs="Times New Roman"/>
          <w:b/>
          <w:bCs/>
          <w:color w:val="252525"/>
          <w:sz w:val="19"/>
          <w:lang w:eastAsia="ru-RU"/>
        </w:rPr>
        <w:t>"Наименование и организационно-правовая форма организации</w:t>
      </w:r>
      <w:r w:rsidRPr="00B339B0">
        <w:rPr>
          <w:rFonts w:ascii="PT-Astra-Sans-Regular" w:eastAsia="Times New Roman" w:hAnsi="PT-Astra-Sans-Regular" w:cs="Times New Roman"/>
          <w:color w:val="252525"/>
          <w:sz w:val="19"/>
          <w:szCs w:val="19"/>
          <w:lang w:eastAsia="ru-RU"/>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В случае если служащий (работник), его супруг (супруга) и (или) несовершеннолетние дети являются учредителем коммерческой организации, то данную информацию также необходимо отразить.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w:t>
      </w:r>
    </w:p>
    <w:p w:rsidR="00B339B0" w:rsidRPr="00B339B0" w:rsidRDefault="00B339B0" w:rsidP="00B339B0">
      <w:pPr>
        <w:numPr>
          <w:ilvl w:val="0"/>
          <w:numId w:val="100"/>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В графе "</w:t>
      </w:r>
      <w:r w:rsidRPr="00B339B0">
        <w:rPr>
          <w:rFonts w:ascii="PT-Astra-Sans-Regular" w:eastAsia="Times New Roman" w:hAnsi="PT-Astra-Sans-Regular" w:cs="Times New Roman"/>
          <w:b/>
          <w:bCs/>
          <w:color w:val="252525"/>
          <w:sz w:val="19"/>
          <w:lang w:eastAsia="ru-RU"/>
        </w:rPr>
        <w:t>Местонахождение организации (адрес)</w:t>
      </w:r>
      <w:r w:rsidRPr="00B339B0">
        <w:rPr>
          <w:rFonts w:ascii="PT-Astra-Sans-Regular" w:eastAsia="Times New Roman" w:hAnsi="PT-Astra-Sans-Regular" w:cs="Times New Roman"/>
          <w:color w:val="252525"/>
          <w:sz w:val="19"/>
          <w:szCs w:val="19"/>
          <w:lang w:eastAsia="ru-RU"/>
        </w:rPr>
        <w:t>"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rsidR="00B339B0" w:rsidRPr="00B339B0" w:rsidRDefault="00B339B0" w:rsidP="00B339B0">
      <w:pPr>
        <w:numPr>
          <w:ilvl w:val="0"/>
          <w:numId w:val="100"/>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b/>
          <w:bCs/>
          <w:color w:val="252525"/>
          <w:sz w:val="19"/>
          <w:lang w:eastAsia="ru-RU"/>
        </w:rPr>
        <w:t>Уставный капитал</w:t>
      </w:r>
      <w:r w:rsidRPr="00B339B0">
        <w:rPr>
          <w:rFonts w:ascii="PT-Astra-Sans-Regular" w:eastAsia="Times New Roman" w:hAnsi="PT-Astra-Sans-Regular" w:cs="Times New Roman"/>
          <w:color w:val="252525"/>
          <w:sz w:val="19"/>
          <w:szCs w:val="19"/>
          <w:lang w:eastAsia="ru-RU"/>
        </w:rPr>
        <w:t>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 учетом положений пункта 50 настоящих Методических рекомендаций).</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Если законодательством не предусмотрено формирование уставного капитала, то указывается "0 руб.".</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B339B0" w:rsidRPr="00B339B0" w:rsidRDefault="00B339B0" w:rsidP="00B339B0">
      <w:pPr>
        <w:numPr>
          <w:ilvl w:val="0"/>
          <w:numId w:val="101"/>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b/>
          <w:bCs/>
          <w:color w:val="252525"/>
          <w:sz w:val="19"/>
          <w:lang w:eastAsia="ru-RU"/>
        </w:rPr>
        <w:t>Доля участия </w:t>
      </w:r>
      <w:r w:rsidRPr="00B339B0">
        <w:rPr>
          <w:rFonts w:ascii="PT-Astra-Sans-Regular" w:eastAsia="Times New Roman" w:hAnsi="PT-Astra-Sans-Regular" w:cs="Times New Roman"/>
          <w:color w:val="252525"/>
          <w:sz w:val="19"/>
          <w:szCs w:val="19"/>
          <w:lang w:eastAsia="ru-RU"/>
        </w:rPr>
        <w:t>выражается в процентах от уставного капитала. Для акционерных обществ указываются также номинальная стоимость и количество акций.</w:t>
      </w:r>
    </w:p>
    <w:p w:rsidR="00B339B0" w:rsidRPr="00B339B0" w:rsidRDefault="00B339B0" w:rsidP="00B339B0">
      <w:pPr>
        <w:numPr>
          <w:ilvl w:val="0"/>
          <w:numId w:val="101"/>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lastRenderedPageBreak/>
        <w:t>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Для обязательств, выраженных в иностранной валюте, стоимость указывается в рублях по курсу Банка России на отчетную дату (с учетом положений пункта 50 настоящих Методических рекомендаций).</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разделу 5 справки.</w:t>
      </w:r>
    </w:p>
    <w:p w:rsidR="00B339B0" w:rsidRPr="00B339B0" w:rsidRDefault="00B339B0" w:rsidP="00B339B0">
      <w:pPr>
        <w:numPr>
          <w:ilvl w:val="0"/>
          <w:numId w:val="102"/>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В графе "</w:t>
      </w:r>
      <w:r w:rsidRPr="00B339B0">
        <w:rPr>
          <w:rFonts w:ascii="PT-Astra-Sans-Regular" w:eastAsia="Times New Roman" w:hAnsi="PT-Astra-Sans-Regular" w:cs="Times New Roman"/>
          <w:b/>
          <w:bCs/>
          <w:color w:val="252525"/>
          <w:sz w:val="19"/>
          <w:lang w:eastAsia="ru-RU"/>
        </w:rPr>
        <w:t>Основание участия</w:t>
      </w:r>
      <w:r w:rsidRPr="00B339B0">
        <w:rPr>
          <w:rFonts w:ascii="PT-Astra-Sans-Regular" w:eastAsia="Times New Roman" w:hAnsi="PT-Astra-Sans-Regular" w:cs="Times New Roman"/>
          <w:color w:val="252525"/>
          <w:sz w:val="19"/>
          <w:szCs w:val="19"/>
          <w:lang w:eastAsia="ru-RU"/>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B339B0">
        <w:rPr>
          <w:rFonts w:ascii="PT-Astra-Sans-Regular" w:eastAsia="Times New Roman" w:hAnsi="PT-Astra-Sans-Regular" w:cs="Times New Roman"/>
          <w:b/>
          <w:bCs/>
          <w:color w:val="252525"/>
          <w:sz w:val="19"/>
          <w:lang w:eastAsia="ru-RU"/>
        </w:rPr>
        <w:t>Основание участия</w:t>
      </w:r>
      <w:r w:rsidRPr="00B339B0">
        <w:rPr>
          <w:rFonts w:ascii="PT-Astra-Sans-Regular" w:eastAsia="Times New Roman" w:hAnsi="PT-Astra-Sans-Regular" w:cs="Times New Roman"/>
          <w:color w:val="252525"/>
          <w:sz w:val="19"/>
          <w:szCs w:val="19"/>
          <w:lang w:eastAsia="ru-RU"/>
        </w:rPr>
        <w:t>" указывается "приобретено на организованных торгах", а также указывается год приобретения.</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b/>
          <w:bCs/>
          <w:color w:val="252525"/>
          <w:sz w:val="19"/>
          <w:lang w:eastAsia="ru-RU"/>
        </w:rPr>
        <w:t>Подраздел 5.2. Иные ценные бумаги</w:t>
      </w:r>
    </w:p>
    <w:p w:rsidR="00B339B0" w:rsidRPr="00B339B0" w:rsidRDefault="00B339B0" w:rsidP="00B339B0">
      <w:pPr>
        <w:numPr>
          <w:ilvl w:val="0"/>
          <w:numId w:val="103"/>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rsidR="00B339B0" w:rsidRPr="00B339B0" w:rsidRDefault="00B339B0" w:rsidP="00B339B0">
      <w:pPr>
        <w:numPr>
          <w:ilvl w:val="0"/>
          <w:numId w:val="103"/>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В графе "</w:t>
      </w:r>
      <w:r w:rsidRPr="00B339B0">
        <w:rPr>
          <w:rFonts w:ascii="PT-Astra-Sans-Regular" w:eastAsia="Times New Roman" w:hAnsi="PT-Astra-Sans-Regular" w:cs="Times New Roman"/>
          <w:b/>
          <w:bCs/>
          <w:color w:val="252525"/>
          <w:sz w:val="19"/>
          <w:lang w:eastAsia="ru-RU"/>
        </w:rPr>
        <w:t>Номинальная величина обязательства</w:t>
      </w:r>
      <w:r w:rsidRPr="00B339B0">
        <w:rPr>
          <w:rFonts w:ascii="PT-Astra-Sans-Regular" w:eastAsia="Times New Roman" w:hAnsi="PT-Astra-Sans-Regular" w:cs="Times New Roman"/>
          <w:color w:val="252525"/>
          <w:sz w:val="19"/>
          <w:szCs w:val="19"/>
          <w:lang w:eastAsia="ru-RU"/>
        </w:rPr>
        <w:t>"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B339B0" w:rsidRPr="00B339B0" w:rsidRDefault="00B339B0" w:rsidP="00B339B0">
      <w:pPr>
        <w:numPr>
          <w:ilvl w:val="0"/>
          <w:numId w:val="104"/>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В графе "</w:t>
      </w:r>
      <w:r w:rsidRPr="00B339B0">
        <w:rPr>
          <w:rFonts w:ascii="PT-Astra-Sans-Regular" w:eastAsia="Times New Roman" w:hAnsi="PT-Astra-Sans-Regular" w:cs="Times New Roman"/>
          <w:b/>
          <w:bCs/>
          <w:color w:val="252525"/>
          <w:sz w:val="19"/>
          <w:lang w:eastAsia="ru-RU"/>
        </w:rPr>
        <w:t>Общая стоимость</w:t>
      </w:r>
      <w:r w:rsidRPr="00B339B0">
        <w:rPr>
          <w:rFonts w:ascii="PT-Astra-Sans-Regular" w:eastAsia="Times New Roman" w:hAnsi="PT-Astra-Sans-Regular" w:cs="Times New Roman"/>
          <w:color w:val="252525"/>
          <w:sz w:val="19"/>
          <w:szCs w:val="19"/>
          <w:lang w:eastAsia="ru-RU"/>
        </w:rPr>
        <w:t>"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Для обязательств, выраженных в иностранной валюте, стоимость указывается в рублях по курсу Банка России на отчетную дату (с учетом положений пункта 50 настоящих Методических рекомендаций).</w:t>
      </w:r>
    </w:p>
    <w:p w:rsidR="00B339B0" w:rsidRPr="00B339B0" w:rsidRDefault="00B339B0" w:rsidP="00B339B0">
      <w:pPr>
        <w:numPr>
          <w:ilvl w:val="0"/>
          <w:numId w:val="105"/>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Следует обращать внимание, что в случае наличия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 Минтруда России от 22 сентября 2022 г. № 28-7/10/В-12862 (</w:t>
      </w:r>
      <w:hyperlink r:id="rId25" w:history="1">
        <w:r w:rsidRPr="00B339B0">
          <w:rPr>
            <w:rFonts w:ascii="PT-Astra-Sans-Regular" w:eastAsia="Times New Roman" w:hAnsi="PT-Astra-Sans-Regular" w:cs="Times New Roman"/>
            <w:color w:val="0345BF"/>
            <w:sz w:val="19"/>
            <w:lang w:eastAsia="ru-RU"/>
          </w:rPr>
          <w:t>https://mintrud.gov.ru/ministry/programms/anticorruption/9/21</w:t>
        </w:r>
      </w:hyperlink>
      <w:r w:rsidRPr="00B339B0">
        <w:rPr>
          <w:rFonts w:ascii="PT-Astra-Sans-Regular" w:eastAsia="Times New Roman" w:hAnsi="PT-Astra-Sans-Regular" w:cs="Times New Roman"/>
          <w:color w:val="252525"/>
          <w:sz w:val="19"/>
          <w:szCs w:val="19"/>
          <w:lang w:eastAsia="ru-RU"/>
        </w:rPr>
        <w:t>).</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lastRenderedPageBreak/>
        <w:t> </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 </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 </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 </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b/>
          <w:bCs/>
          <w:color w:val="252525"/>
          <w:sz w:val="19"/>
          <w:lang w:eastAsia="ru-RU"/>
        </w:rPr>
        <w:t>РАЗДЕЛ 6. СВЕДЕНИЯ ОБ ОБЯЗАТЕЛЬСТВАХ ИМУЩЕСТВЕННОГО ХАРАКТЕРА</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 </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b/>
          <w:bCs/>
          <w:color w:val="252525"/>
          <w:sz w:val="19"/>
          <w:lang w:eastAsia="ru-RU"/>
        </w:rPr>
        <w:t>Подраздел 6.1. Объекты недвижимого имущества, находящиеся в пользовании</w:t>
      </w:r>
    </w:p>
    <w:p w:rsidR="00B339B0" w:rsidRPr="00B339B0" w:rsidRDefault="00B339B0" w:rsidP="00B339B0">
      <w:pPr>
        <w:numPr>
          <w:ilvl w:val="0"/>
          <w:numId w:val="106"/>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B339B0" w:rsidRPr="00B339B0" w:rsidRDefault="00B339B0" w:rsidP="00B339B0">
      <w:pPr>
        <w:numPr>
          <w:ilvl w:val="0"/>
          <w:numId w:val="107"/>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w:t>
      </w:r>
    </w:p>
    <w:p w:rsidR="00B339B0" w:rsidRPr="00B339B0" w:rsidRDefault="00B339B0" w:rsidP="00B339B0">
      <w:pPr>
        <w:numPr>
          <w:ilvl w:val="0"/>
          <w:numId w:val="108"/>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отсутствует фактическое пользование этим объектом супругом;</w:t>
      </w:r>
    </w:p>
    <w:p w:rsidR="00B339B0" w:rsidRPr="00B339B0" w:rsidRDefault="00B339B0" w:rsidP="00B339B0">
      <w:pPr>
        <w:numPr>
          <w:ilvl w:val="0"/>
          <w:numId w:val="108"/>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эти объекты указаны в подразделе 3.1 раздела 3 соответствующей справки.</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Аналогично в отношении несовершеннолетних детей.</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rsidR="00B339B0" w:rsidRPr="00B339B0" w:rsidRDefault="00B339B0" w:rsidP="00B339B0">
      <w:pPr>
        <w:numPr>
          <w:ilvl w:val="0"/>
          <w:numId w:val="109"/>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B339B0" w:rsidRPr="00B339B0" w:rsidRDefault="00B339B0" w:rsidP="00B339B0">
      <w:pPr>
        <w:numPr>
          <w:ilvl w:val="0"/>
          <w:numId w:val="109"/>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В том числе указанию подлежат сведения о жилом помещении (дом, квартира, комната), нежилом помещении, земельном участке, гараже и т.д.:</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3) занимаемых по договору аренды (найма, поднайма);</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4) занимаемых по договорам социального найма;</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lastRenderedPageBreak/>
        <w:t>6) принадлежащих на праве пожизненного наследуемого владения земельным участком;</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7) переданных объектах по договору или иному акту, но не зарегистрированных в установленном законодательством Российской Федерации порядке.</w:t>
      </w:r>
    </w:p>
    <w:p w:rsidR="00B339B0" w:rsidRPr="00B339B0" w:rsidRDefault="00B339B0" w:rsidP="00B339B0">
      <w:pPr>
        <w:numPr>
          <w:ilvl w:val="0"/>
          <w:numId w:val="110"/>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Отражению подлежит также, например, земельный участок, на котором расположен частный дом, находящийся в пользовании.</w:t>
      </w:r>
    </w:p>
    <w:p w:rsidR="00B339B0" w:rsidRPr="00B339B0" w:rsidRDefault="00B339B0" w:rsidP="00B339B0">
      <w:pPr>
        <w:numPr>
          <w:ilvl w:val="0"/>
          <w:numId w:val="110"/>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При этом указывается общая площадь объекта недвижимого имущества, находящегося в пользовании.</w:t>
      </w:r>
    </w:p>
    <w:p w:rsidR="00B339B0" w:rsidRPr="00B339B0" w:rsidRDefault="00B339B0" w:rsidP="00B339B0">
      <w:pPr>
        <w:numPr>
          <w:ilvl w:val="0"/>
          <w:numId w:val="110"/>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Сведения об объектах недвижимого имущества, находящихся в пользовании, указываются по состоянию на отчетную дату.</w:t>
      </w:r>
    </w:p>
    <w:p w:rsidR="00B339B0" w:rsidRPr="00B339B0" w:rsidRDefault="00B339B0" w:rsidP="00B339B0">
      <w:pPr>
        <w:numPr>
          <w:ilvl w:val="0"/>
          <w:numId w:val="110"/>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В графе </w:t>
      </w:r>
      <w:r w:rsidRPr="00B339B0">
        <w:rPr>
          <w:rFonts w:ascii="PT-Astra-Sans-Regular" w:eastAsia="Times New Roman" w:hAnsi="PT-Astra-Sans-Regular" w:cs="Times New Roman"/>
          <w:b/>
          <w:bCs/>
          <w:color w:val="252525"/>
          <w:sz w:val="19"/>
          <w:lang w:eastAsia="ru-RU"/>
        </w:rPr>
        <w:t>"Вид имущества</w:t>
      </w:r>
      <w:r w:rsidRPr="00B339B0">
        <w:rPr>
          <w:rFonts w:ascii="PT-Astra-Sans-Regular" w:eastAsia="Times New Roman" w:hAnsi="PT-Astra-Sans-Regular" w:cs="Times New Roman"/>
          <w:color w:val="252525"/>
          <w:sz w:val="19"/>
          <w:szCs w:val="19"/>
          <w:lang w:eastAsia="ru-RU"/>
        </w:rPr>
        <w:t>" указывается вид недвижимого имущества (земельный участок, жилой дом, дача, квартира, комната и др.).</w:t>
      </w:r>
    </w:p>
    <w:p w:rsidR="00B339B0" w:rsidRPr="00B339B0" w:rsidRDefault="00B339B0" w:rsidP="00B339B0">
      <w:pPr>
        <w:numPr>
          <w:ilvl w:val="0"/>
          <w:numId w:val="110"/>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В графе "</w:t>
      </w:r>
      <w:r w:rsidRPr="00B339B0">
        <w:rPr>
          <w:rFonts w:ascii="PT-Astra-Sans-Regular" w:eastAsia="Times New Roman" w:hAnsi="PT-Astra-Sans-Regular" w:cs="Times New Roman"/>
          <w:b/>
          <w:bCs/>
          <w:color w:val="252525"/>
          <w:sz w:val="19"/>
          <w:lang w:eastAsia="ru-RU"/>
        </w:rPr>
        <w:t>Вид и сроки пользования</w:t>
      </w:r>
      <w:r w:rsidRPr="00B339B0">
        <w:rPr>
          <w:rFonts w:ascii="PT-Astra-Sans-Regular" w:eastAsia="Times New Roman" w:hAnsi="PT-Astra-Sans-Regular" w:cs="Times New Roman"/>
          <w:color w:val="252525"/>
          <w:sz w:val="19"/>
          <w:szCs w:val="19"/>
          <w:lang w:eastAsia="ru-RU"/>
        </w:rPr>
        <w:t>" указываются вид пользования (аренда, безвозмездное пользование и др.) и сроки пользования.</w:t>
      </w:r>
    </w:p>
    <w:p w:rsidR="00B339B0" w:rsidRPr="00B339B0" w:rsidRDefault="00B339B0" w:rsidP="00B339B0">
      <w:pPr>
        <w:numPr>
          <w:ilvl w:val="0"/>
          <w:numId w:val="110"/>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В графе "</w:t>
      </w:r>
      <w:r w:rsidRPr="00B339B0">
        <w:rPr>
          <w:rFonts w:ascii="PT-Astra-Sans-Regular" w:eastAsia="Times New Roman" w:hAnsi="PT-Astra-Sans-Regular" w:cs="Times New Roman"/>
          <w:b/>
          <w:bCs/>
          <w:color w:val="252525"/>
          <w:sz w:val="19"/>
          <w:lang w:eastAsia="ru-RU"/>
        </w:rPr>
        <w:t>Основание пользования</w:t>
      </w:r>
      <w:r w:rsidRPr="00B339B0">
        <w:rPr>
          <w:rFonts w:ascii="PT-Astra-Sans-Regular" w:eastAsia="Times New Roman" w:hAnsi="PT-Astra-Sans-Regular" w:cs="Times New Roman"/>
          <w:color w:val="252525"/>
          <w:sz w:val="19"/>
          <w:szCs w:val="19"/>
          <w:lang w:eastAsia="ru-RU"/>
        </w:rPr>
        <w:t>"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B339B0" w:rsidRPr="00B339B0" w:rsidRDefault="00B339B0" w:rsidP="00B339B0">
      <w:pPr>
        <w:numPr>
          <w:ilvl w:val="0"/>
          <w:numId w:val="110"/>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В данном подразделе </w:t>
      </w:r>
      <w:r w:rsidRPr="00B339B0">
        <w:rPr>
          <w:rFonts w:ascii="PT-Astra-Sans-Regular" w:eastAsia="Times New Roman" w:hAnsi="PT-Astra-Sans-Regular" w:cs="Times New Roman"/>
          <w:b/>
          <w:bCs/>
          <w:color w:val="252525"/>
          <w:sz w:val="19"/>
          <w:lang w:eastAsia="ru-RU"/>
        </w:rPr>
        <w:t>не указывается</w:t>
      </w:r>
      <w:r w:rsidRPr="00B339B0">
        <w:rPr>
          <w:rFonts w:ascii="PT-Astra-Sans-Regular" w:eastAsia="Times New Roman" w:hAnsi="PT-Astra-Sans-Regular" w:cs="Times New Roman"/>
          <w:color w:val="252525"/>
          <w:sz w:val="19"/>
          <w:szCs w:val="19"/>
          <w:lang w:eastAsia="ru-RU"/>
        </w:rPr>
        <w:t> недвижимое имущество, которое находится в собственности и уже отражено в подразделе 3.1 раздела 3 справки.</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B339B0" w:rsidRPr="00B339B0" w:rsidRDefault="00B339B0" w:rsidP="00B339B0">
      <w:pPr>
        <w:numPr>
          <w:ilvl w:val="0"/>
          <w:numId w:val="111"/>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При этом данные доли собственности должны быть отражены в подразделе 3.1. раздела 3 справок служащего (работника) и его супруги (супруга).</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Аналогично в отношении несовершеннолетних детей.</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B339B0" w:rsidRPr="00B339B0" w:rsidRDefault="00B339B0" w:rsidP="00B339B0">
      <w:pPr>
        <w:numPr>
          <w:ilvl w:val="0"/>
          <w:numId w:val="112"/>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Графа "</w:t>
      </w:r>
      <w:r w:rsidRPr="00B339B0">
        <w:rPr>
          <w:rFonts w:ascii="PT-Astra-Sans-Regular" w:eastAsia="Times New Roman" w:hAnsi="PT-Astra-Sans-Regular" w:cs="Times New Roman"/>
          <w:b/>
          <w:bCs/>
          <w:color w:val="252525"/>
          <w:sz w:val="19"/>
          <w:lang w:eastAsia="ru-RU"/>
        </w:rPr>
        <w:t>Площадь (кв. м)</w:t>
      </w:r>
      <w:r w:rsidRPr="00B339B0">
        <w:rPr>
          <w:rFonts w:ascii="PT-Astra-Sans-Regular" w:eastAsia="Times New Roman" w:hAnsi="PT-Astra-Sans-Regular" w:cs="Times New Roman"/>
          <w:color w:val="252525"/>
          <w:sz w:val="19"/>
          <w:szCs w:val="19"/>
          <w:lang w:eastAsia="ru-RU"/>
        </w:rPr>
        <w:t>" заполняется на основании правоустанавливающих документов, а в случае их отсутствия – исходя из фактических значений.</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b/>
          <w:bCs/>
          <w:color w:val="252525"/>
          <w:sz w:val="19"/>
          <w:lang w:eastAsia="ru-RU"/>
        </w:rPr>
        <w:t>Подраздел 6.2. Срочные обязательства финансового характера</w:t>
      </w:r>
    </w:p>
    <w:p w:rsidR="00B339B0" w:rsidRPr="00B339B0" w:rsidRDefault="00B339B0" w:rsidP="00B339B0">
      <w:pPr>
        <w:numPr>
          <w:ilvl w:val="0"/>
          <w:numId w:val="113"/>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В данном подразделе указывается </w:t>
      </w:r>
      <w:r w:rsidRPr="00B339B0">
        <w:rPr>
          <w:rFonts w:ascii="PT-Astra-Sans-Regular" w:eastAsia="Times New Roman" w:hAnsi="PT-Astra-Sans-Regular" w:cs="Times New Roman"/>
          <w:b/>
          <w:bCs/>
          <w:color w:val="252525"/>
          <w:sz w:val="19"/>
          <w:lang w:eastAsia="ru-RU"/>
        </w:rPr>
        <w:t>каждое</w:t>
      </w:r>
      <w:r w:rsidRPr="00B339B0">
        <w:rPr>
          <w:rFonts w:ascii="PT-Astra-Sans-Regular" w:eastAsia="Times New Roman" w:hAnsi="PT-Astra-Sans-Regular" w:cs="Times New Roman"/>
          <w:color w:val="252525"/>
          <w:sz w:val="19"/>
          <w:szCs w:val="19"/>
          <w:lang w:eastAsia="ru-RU"/>
        </w:rPr>
        <w:t> имеющееся на отчетную дату срочное обязательство финансового характера на сумму, </w:t>
      </w:r>
      <w:r w:rsidRPr="00B339B0">
        <w:rPr>
          <w:rFonts w:ascii="PT-Astra-Sans-Regular" w:eastAsia="Times New Roman" w:hAnsi="PT-Astra-Sans-Regular" w:cs="Times New Roman"/>
          <w:b/>
          <w:bCs/>
          <w:color w:val="252525"/>
          <w:sz w:val="19"/>
          <w:lang w:eastAsia="ru-RU"/>
        </w:rPr>
        <w:t>равную или превышающую</w:t>
      </w:r>
      <w:r w:rsidRPr="00B339B0">
        <w:rPr>
          <w:rFonts w:ascii="PT-Astra-Sans-Regular" w:eastAsia="Times New Roman" w:hAnsi="PT-Astra-Sans-Regular" w:cs="Times New Roman"/>
          <w:color w:val="252525"/>
          <w:sz w:val="19"/>
          <w:szCs w:val="19"/>
          <w:lang w:eastAsia="ru-RU"/>
        </w:rPr>
        <w:t> 500 000 руб., кредитором или должником по которому является служащий (работник), его супруга (супруг), несовершеннолетний ребенок.</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Данный подраздел также подлежит заполнению в случае, если лицо, в отношении которого представляются Сведения, является созаемщиком.</w:t>
      </w:r>
    </w:p>
    <w:p w:rsidR="00B339B0" w:rsidRPr="00B339B0" w:rsidRDefault="00B339B0" w:rsidP="00B339B0">
      <w:pPr>
        <w:numPr>
          <w:ilvl w:val="0"/>
          <w:numId w:val="114"/>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lastRenderedPageBreak/>
        <w:t>В графе "</w:t>
      </w:r>
      <w:r w:rsidRPr="00B339B0">
        <w:rPr>
          <w:rFonts w:ascii="PT-Astra-Sans-Regular" w:eastAsia="Times New Roman" w:hAnsi="PT-Astra-Sans-Regular" w:cs="Times New Roman"/>
          <w:b/>
          <w:bCs/>
          <w:color w:val="252525"/>
          <w:sz w:val="19"/>
          <w:lang w:eastAsia="ru-RU"/>
        </w:rPr>
        <w:t>Содержание обязательства</w:t>
      </w:r>
      <w:r w:rsidRPr="00B339B0">
        <w:rPr>
          <w:rFonts w:ascii="PT-Astra-Sans-Regular" w:eastAsia="Times New Roman" w:hAnsi="PT-Astra-Sans-Regular" w:cs="Times New Roman"/>
          <w:color w:val="252525"/>
          <w:sz w:val="19"/>
          <w:szCs w:val="19"/>
          <w:lang w:eastAsia="ru-RU"/>
        </w:rPr>
        <w:t>"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B339B0" w:rsidRPr="00B339B0" w:rsidRDefault="00B339B0" w:rsidP="00B339B0">
      <w:pPr>
        <w:numPr>
          <w:ilvl w:val="0"/>
          <w:numId w:val="114"/>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В графе "</w:t>
      </w:r>
      <w:r w:rsidRPr="00B339B0">
        <w:rPr>
          <w:rFonts w:ascii="PT-Astra-Sans-Regular" w:eastAsia="Times New Roman" w:hAnsi="PT-Astra-Sans-Regular" w:cs="Times New Roman"/>
          <w:b/>
          <w:bCs/>
          <w:color w:val="252525"/>
          <w:sz w:val="19"/>
          <w:lang w:eastAsia="ru-RU"/>
        </w:rPr>
        <w:t>Кредитор (должник)</w:t>
      </w:r>
      <w:r w:rsidRPr="00B339B0">
        <w:rPr>
          <w:rFonts w:ascii="PT-Astra-Sans-Regular" w:eastAsia="Times New Roman" w:hAnsi="PT-Astra-Sans-Regular" w:cs="Times New Roman"/>
          <w:color w:val="252525"/>
          <w:sz w:val="19"/>
          <w:szCs w:val="19"/>
          <w:lang w:eastAsia="ru-RU"/>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Например,</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1) если служащий (работник) или его супруга (супруг) взял(-а) кредит в ПАО Сбербанк и является должником, то в графе "Кредитор (должник)" указывается вторая сторона обязательства: кредитор ПАО Сбербанк;</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2) если служащий (работник) или его супруга (супруг) заключил(-а)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w:t>
      </w:r>
    </w:p>
    <w:p w:rsidR="00B339B0" w:rsidRPr="00B339B0" w:rsidRDefault="00B339B0" w:rsidP="00B339B0">
      <w:pPr>
        <w:numPr>
          <w:ilvl w:val="0"/>
          <w:numId w:val="115"/>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В графе "</w:t>
      </w:r>
      <w:r w:rsidRPr="00B339B0">
        <w:rPr>
          <w:rFonts w:ascii="PT-Astra-Sans-Regular" w:eastAsia="Times New Roman" w:hAnsi="PT-Astra-Sans-Regular" w:cs="Times New Roman"/>
          <w:b/>
          <w:bCs/>
          <w:color w:val="252525"/>
          <w:sz w:val="19"/>
          <w:lang w:eastAsia="ru-RU"/>
        </w:rPr>
        <w:t>Основание возникновения</w:t>
      </w:r>
      <w:r w:rsidRPr="00B339B0">
        <w:rPr>
          <w:rFonts w:ascii="PT-Astra-Sans-Regular" w:eastAsia="Times New Roman" w:hAnsi="PT-Astra-Sans-Regular" w:cs="Times New Roman"/>
          <w:color w:val="252525"/>
          <w:sz w:val="19"/>
          <w:szCs w:val="19"/>
          <w:lang w:eastAsia="ru-RU"/>
        </w:rPr>
        <w:t>" указываются основание возникновения обязательства, а также реквизиты (дата, номер) соответствующего договора или акта.</w:t>
      </w:r>
    </w:p>
    <w:p w:rsidR="00B339B0" w:rsidRPr="00B339B0" w:rsidRDefault="00B339B0" w:rsidP="00B339B0">
      <w:pPr>
        <w:numPr>
          <w:ilvl w:val="0"/>
          <w:numId w:val="115"/>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В графе "</w:t>
      </w:r>
      <w:r w:rsidRPr="00B339B0">
        <w:rPr>
          <w:rFonts w:ascii="PT-Astra-Sans-Regular" w:eastAsia="Times New Roman" w:hAnsi="PT-Astra-Sans-Regular" w:cs="Times New Roman"/>
          <w:b/>
          <w:bCs/>
          <w:color w:val="252525"/>
          <w:sz w:val="19"/>
          <w:lang w:eastAsia="ru-RU"/>
        </w:rPr>
        <w:t>Сумма обязательства / размер обязательства по состоянию на отчетную дату</w:t>
      </w:r>
      <w:r w:rsidRPr="00B339B0">
        <w:rPr>
          <w:rFonts w:ascii="PT-Astra-Sans-Regular" w:eastAsia="Times New Roman" w:hAnsi="PT-Astra-Sans-Regular" w:cs="Times New Roman"/>
          <w:color w:val="252525"/>
          <w:sz w:val="19"/>
          <w:szCs w:val="19"/>
          <w:lang w:eastAsia="ru-RU"/>
        </w:rPr>
        <w:t>" указываются:</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Для обязательств, выраженных в иностранной валюте, сумма указывается в рублях по курсу Банка России на отчетную дату (с учетом положений пункта 50 настоящих Методических рекомендаций).</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Сведения об официальных курсах валют на заданную дату, устанавливаемых Центральным банком Российской Федерации, размещены на его официальном сайте: </w:t>
      </w:r>
      <w:hyperlink r:id="rId26" w:history="1">
        <w:r w:rsidRPr="00B339B0">
          <w:rPr>
            <w:rFonts w:ascii="PT-Astra-Sans-Regular" w:eastAsia="Times New Roman" w:hAnsi="PT-Astra-Sans-Regular" w:cs="Times New Roman"/>
            <w:color w:val="0345BF"/>
            <w:sz w:val="19"/>
            <w:lang w:eastAsia="ru-RU"/>
          </w:rPr>
          <w:t>https://www.cbr.ru/currency_base/daily/</w:t>
        </w:r>
      </w:hyperlink>
      <w:r w:rsidRPr="00B339B0">
        <w:rPr>
          <w:rFonts w:ascii="PT-Astra-Sans-Regular" w:eastAsia="Times New Roman" w:hAnsi="PT-Astra-Sans-Regular" w:cs="Times New Roman"/>
          <w:color w:val="252525"/>
          <w:sz w:val="19"/>
          <w:szCs w:val="19"/>
          <w:lang w:eastAsia="ru-RU"/>
        </w:rPr>
        <w:t>.</w:t>
      </w:r>
    </w:p>
    <w:p w:rsidR="00B339B0" w:rsidRPr="00B339B0" w:rsidRDefault="00B339B0" w:rsidP="00B339B0">
      <w:pPr>
        <w:numPr>
          <w:ilvl w:val="0"/>
          <w:numId w:val="116"/>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B339B0" w:rsidRPr="00B339B0" w:rsidRDefault="00B339B0" w:rsidP="00B339B0">
      <w:pPr>
        <w:numPr>
          <w:ilvl w:val="0"/>
          <w:numId w:val="116"/>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В графе "</w:t>
      </w:r>
      <w:r w:rsidRPr="00B339B0">
        <w:rPr>
          <w:rFonts w:ascii="PT-Astra-Sans-Regular" w:eastAsia="Times New Roman" w:hAnsi="PT-Astra-Sans-Regular" w:cs="Times New Roman"/>
          <w:b/>
          <w:bCs/>
          <w:color w:val="252525"/>
          <w:sz w:val="19"/>
          <w:lang w:eastAsia="ru-RU"/>
        </w:rPr>
        <w:t>Условия обязательства</w:t>
      </w:r>
      <w:r w:rsidRPr="00B339B0">
        <w:rPr>
          <w:rFonts w:ascii="PT-Astra-Sans-Regular" w:eastAsia="Times New Roman" w:hAnsi="PT-Astra-Sans-Regular" w:cs="Times New Roman"/>
          <w:color w:val="252525"/>
          <w:sz w:val="19"/>
          <w:szCs w:val="19"/>
          <w:lang w:eastAsia="ru-RU"/>
        </w:rPr>
        <w:t>" указываются годовая процентная ставка обязательства, заложенное в обеспечение обязательства имущество, выданные в обеспечение исполнения обязательства гарантии и поручительства.</w:t>
      </w:r>
    </w:p>
    <w:p w:rsidR="00B339B0" w:rsidRPr="00B339B0" w:rsidRDefault="00B339B0" w:rsidP="00B339B0">
      <w:pPr>
        <w:numPr>
          <w:ilvl w:val="0"/>
          <w:numId w:val="116"/>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Помимо прочего подлежат указанию:</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2) договор финансовой аренды (лизинг);</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3) договор займа;</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4) договор финансирования под уступку денежного требования;</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5) обязательства, связанные с заключением договора об уступке права требования;</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6) обязательства вследствие причинения вреда (финансовые);</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lastRenderedPageBreak/>
        <w:t>8) обязательства по уплате алиментов (если по состоянию на отчетную дату сумма невыплаченных алиментов равна или превышает 500 000 руб.);</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10) выкупленная дебиторская задолженность;</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12) предоставленные брокером займы (т.н. "маржинальные сделки");</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13) обязательства по незакрытым сделкам РЕПО и СВОП (у клиента имеются требования и обязательства по этим сделкам);</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14) фьючерсный договор;</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15) иные обязательства, в том числе установленные решением суда.</w:t>
      </w:r>
    </w:p>
    <w:p w:rsidR="00B339B0" w:rsidRPr="00B339B0" w:rsidRDefault="00B339B0" w:rsidP="00B339B0">
      <w:pPr>
        <w:numPr>
          <w:ilvl w:val="0"/>
          <w:numId w:val="117"/>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При этом в данном подразделе не указываются, например, договор срочного банковского вклада.</w:t>
      </w:r>
    </w:p>
    <w:p w:rsidR="00B339B0" w:rsidRPr="00B339B0" w:rsidRDefault="00B339B0" w:rsidP="00B339B0">
      <w:pPr>
        <w:numPr>
          <w:ilvl w:val="0"/>
          <w:numId w:val="117"/>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rsidR="00B339B0" w:rsidRPr="00B339B0" w:rsidRDefault="00B339B0" w:rsidP="00B339B0">
      <w:pPr>
        <w:numPr>
          <w:ilvl w:val="0"/>
          <w:numId w:val="117"/>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b/>
          <w:bCs/>
          <w:color w:val="252525"/>
          <w:sz w:val="19"/>
          <w:lang w:eastAsia="ru-RU"/>
        </w:rPr>
        <w:t>Отдельные виды срочных обязательств финансового характера</w:t>
      </w:r>
      <w:r w:rsidRPr="00B339B0">
        <w:rPr>
          <w:rFonts w:ascii="PT-Astra-Sans-Regular" w:eastAsia="Times New Roman" w:hAnsi="PT-Astra-Sans-Regular" w:cs="Times New Roman"/>
          <w:color w:val="252525"/>
          <w:sz w:val="19"/>
          <w:szCs w:val="19"/>
          <w:lang w:eastAsia="ru-RU"/>
        </w:rPr>
        <w:t>:</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b/>
          <w:bCs/>
          <w:color w:val="252525"/>
          <w:sz w:val="19"/>
          <w:lang w:eastAsia="ru-RU"/>
        </w:rPr>
        <w:t>1) участие в долевом строительстве объекта недвижимости. </w:t>
      </w:r>
      <w:r w:rsidRPr="00B339B0">
        <w:rPr>
          <w:rFonts w:ascii="PT-Astra-Sans-Regular" w:eastAsia="Times New Roman" w:hAnsi="PT-Astra-Sans-Regular" w:cs="Times New Roman"/>
          <w:color w:val="252525"/>
          <w:sz w:val="19"/>
          <w:szCs w:val="19"/>
          <w:lang w:eastAsia="ru-RU"/>
        </w:rPr>
        <w:t>До государственной регистрации права собственности на объект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3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Данный порядок применяется также в случае использования счетов эскроу.</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 полная стоимость.</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 xml:space="preserve">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w:t>
      </w:r>
      <w:r w:rsidRPr="00B339B0">
        <w:rPr>
          <w:rFonts w:ascii="PT-Astra-Sans-Regular" w:eastAsia="Times New Roman" w:hAnsi="PT-Astra-Sans-Regular" w:cs="Times New Roman"/>
          <w:color w:val="252525"/>
          <w:sz w:val="19"/>
          <w:szCs w:val="19"/>
          <w:lang w:eastAsia="ru-RU"/>
        </w:rPr>
        <w:lastRenderedPageBreak/>
        <w:t>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b/>
          <w:bCs/>
          <w:color w:val="252525"/>
          <w:sz w:val="19"/>
          <w:lang w:eastAsia="ru-RU"/>
        </w:rPr>
        <w:t>2) обязательства по ипотеке в случае разделения суммы кредита между супругами.</w:t>
      </w:r>
      <w:r w:rsidRPr="00B339B0">
        <w:rPr>
          <w:rFonts w:ascii="PT-Astra-Sans-Regular" w:eastAsia="Times New Roman" w:hAnsi="PT-Astra-Sans-Regular" w:cs="Times New Roman"/>
          <w:color w:val="252525"/>
          <w:sz w:val="19"/>
          <w:szCs w:val="19"/>
          <w:lang w:eastAsia="ru-RU"/>
        </w:rPr>
        <w:t>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b/>
          <w:bCs/>
          <w:color w:val="252525"/>
          <w:sz w:val="19"/>
          <w:lang w:eastAsia="ru-RU"/>
        </w:rPr>
        <w:t>3) обязательства в соответствии с Законом Российской Федерации от 27 ноября 1992 г. № 4015-I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B339B0">
        <w:rPr>
          <w:rFonts w:ascii="PT-Astra-Sans-Regular" w:eastAsia="Times New Roman" w:hAnsi="PT-Astra-Sans-Regular" w:cs="Times New Roman"/>
          <w:color w:val="252525"/>
          <w:sz w:val="19"/>
          <w:szCs w:val="19"/>
          <w:lang w:eastAsia="ru-RU"/>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В графе "Содержание обязательства" указывается вид страхования, в графе "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"Сумма обязательства" указывается страховая премия по договору. В графе "Условия обязательства" могут быть указаны сроки окончания договора страхования.</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Справку рекомендуется заполнять с учетом сведений, полученных от страховщика в рамках Указания Банка России № 5798-У.</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Обязательное пенсионное страхование не подпадает под регулирование Законом Российской Федерации от 27 ноября 1992 г. № 4015-I "Об организации страхового дела в Российской Федерации".</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b/>
          <w:bCs/>
          <w:color w:val="252525"/>
          <w:sz w:val="19"/>
          <w:lang w:eastAsia="ru-RU"/>
        </w:rPr>
        <w:t>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B339B0">
        <w:rPr>
          <w:rFonts w:ascii="PT-Astra-Sans-Regular" w:eastAsia="Times New Roman" w:hAnsi="PT-Astra-Sans-Regular" w:cs="Times New Roman"/>
          <w:color w:val="252525"/>
          <w:sz w:val="19"/>
          <w:szCs w:val="19"/>
          <w:lang w:eastAsia="ru-RU"/>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lastRenderedPageBreak/>
        <w:t>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 (с учетом положений пункта 50 настоящих Методических рекомендаций).</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 </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b/>
          <w:bCs/>
          <w:color w:val="252525"/>
          <w:sz w:val="19"/>
          <w:lang w:eastAsia="ru-RU"/>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 </w:t>
      </w:r>
    </w:p>
    <w:p w:rsidR="00B339B0" w:rsidRPr="00B339B0" w:rsidRDefault="00B339B0" w:rsidP="00B339B0">
      <w:pPr>
        <w:numPr>
          <w:ilvl w:val="0"/>
          <w:numId w:val="118"/>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уставных капиталах коммерческих организаций и фондов),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отчужденных в течение отчетного периода в результате безвозмездной сделки, а также, например, сведения об утилизации автомобиля.</w:t>
      </w:r>
    </w:p>
    <w:p w:rsidR="00B339B0" w:rsidRPr="00B339B0" w:rsidRDefault="00B339B0" w:rsidP="00B339B0">
      <w:pPr>
        <w:numPr>
          <w:ilvl w:val="0"/>
          <w:numId w:val="118"/>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B339B0" w:rsidRPr="00B339B0" w:rsidRDefault="00B339B0" w:rsidP="00B339B0">
      <w:pPr>
        <w:numPr>
          <w:ilvl w:val="0"/>
          <w:numId w:val="118"/>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B339B0" w:rsidRPr="00B339B0" w:rsidRDefault="00B339B0" w:rsidP="00B339B0">
      <w:pPr>
        <w:numPr>
          <w:ilvl w:val="0"/>
          <w:numId w:val="119"/>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Уничтоженные объекты имущества не подлежат отражению в данном разделе справки.</w:t>
      </w:r>
    </w:p>
    <w:p w:rsidR="00B339B0" w:rsidRPr="00B339B0" w:rsidRDefault="00B339B0" w:rsidP="00B339B0">
      <w:pPr>
        <w:numPr>
          <w:ilvl w:val="0"/>
          <w:numId w:val="119"/>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Договор мены не подлежит отражению в данном разделе справки, так как он является возмездным.</w:t>
      </w:r>
    </w:p>
    <w:p w:rsidR="00B339B0" w:rsidRPr="00B339B0" w:rsidRDefault="00B339B0" w:rsidP="00B339B0">
      <w:pPr>
        <w:numPr>
          <w:ilvl w:val="0"/>
          <w:numId w:val="119"/>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rsidR="00B339B0" w:rsidRPr="00B339B0" w:rsidRDefault="00B339B0" w:rsidP="00B339B0">
      <w:pPr>
        <w:numPr>
          <w:ilvl w:val="0"/>
          <w:numId w:val="119"/>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Каждый объект безвозмездной сделки указывается отдельно.</w:t>
      </w:r>
    </w:p>
    <w:p w:rsidR="00B339B0" w:rsidRPr="00B339B0" w:rsidRDefault="00B339B0" w:rsidP="00B339B0">
      <w:pPr>
        <w:numPr>
          <w:ilvl w:val="0"/>
          <w:numId w:val="119"/>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пунктом 103 настоящих Методических рекомендаций), местонахождение (адрес) в соответствии с пунктами 111 и 112 настоящих Методических рекомендаций, площадь (кв. м) в соответствии с пунктом 113 настоящих Методических рекомендаций.</w:t>
      </w:r>
    </w:p>
    <w:p w:rsidR="00B339B0" w:rsidRPr="00B339B0" w:rsidRDefault="00B339B0" w:rsidP="00B339B0">
      <w:pPr>
        <w:numPr>
          <w:ilvl w:val="0"/>
          <w:numId w:val="119"/>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В строке "Транспортные средства" рекомендуется указывать вид, марку, модель транспортного средства, год изготовления, место регистрации.</w:t>
      </w:r>
    </w:p>
    <w:p w:rsidR="00B339B0" w:rsidRPr="00B339B0" w:rsidRDefault="00B339B0" w:rsidP="00B339B0">
      <w:pPr>
        <w:numPr>
          <w:ilvl w:val="0"/>
          <w:numId w:val="119"/>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 (с учетом положений пункта 50 настоящих Методических рекомендаций).</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пунктом 172 настоящих Методических рекомендаций, местонахождение организации (адрес) в соответствии с пунктом 173 настоящих Методических рекомендаций, уставный капитал в соответствии с пунктом 174 настоящих Методических рекомендаций, доли участия в соответствии с пунктом 175 настоящих Методических рекомендаций.</w:t>
      </w:r>
    </w:p>
    <w:p w:rsidR="00B339B0" w:rsidRPr="00B339B0" w:rsidRDefault="00B339B0" w:rsidP="00B339B0">
      <w:pPr>
        <w:numPr>
          <w:ilvl w:val="0"/>
          <w:numId w:val="120"/>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rsidR="00B339B0" w:rsidRPr="00B339B0" w:rsidRDefault="00B339B0" w:rsidP="00B339B0">
      <w:pPr>
        <w:numPr>
          <w:ilvl w:val="0"/>
          <w:numId w:val="120"/>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lastRenderedPageBreak/>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B339B0" w:rsidRPr="00B339B0" w:rsidRDefault="00B339B0" w:rsidP="00B339B0">
      <w:pPr>
        <w:numPr>
          <w:ilvl w:val="0"/>
          <w:numId w:val="120"/>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В строке "Утилитарные цифровые права" рекомендуется указывать уникальное условное обозначение, идентифицирующее утилитарное цифровое право.</w:t>
      </w:r>
    </w:p>
    <w:p w:rsidR="00B339B0" w:rsidRPr="00B339B0" w:rsidRDefault="00B339B0" w:rsidP="00B339B0">
      <w:pPr>
        <w:numPr>
          <w:ilvl w:val="0"/>
          <w:numId w:val="120"/>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rsidR="00B339B0" w:rsidRPr="00B339B0" w:rsidRDefault="00B339B0" w:rsidP="00B339B0">
      <w:pPr>
        <w:numPr>
          <w:ilvl w:val="0"/>
          <w:numId w:val="120"/>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В графе "Приобретатель имущества по сделке" в случае безвозмездной сделки с физическим лицом указываются его 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Также указывается актуальный адрес места регистрации физического лица либо адрес, указанный в договоре.</w:t>
      </w:r>
    </w:p>
    <w:p w:rsidR="00B339B0" w:rsidRPr="00B339B0" w:rsidRDefault="00B339B0" w:rsidP="00B339B0">
      <w:pPr>
        <w:shd w:val="clear" w:color="auto" w:fill="FFFFFF"/>
        <w:spacing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В случае безвозмездной сделки с юридическим лицом в данной графе указываются наименование, идентификационный номер налогоплательщика и основной государственный регистрационный номер юридического лица.</w:t>
      </w:r>
    </w:p>
    <w:p w:rsidR="00B339B0" w:rsidRPr="00B339B0" w:rsidRDefault="00B339B0" w:rsidP="00B339B0">
      <w:pPr>
        <w:numPr>
          <w:ilvl w:val="0"/>
          <w:numId w:val="121"/>
        </w:numPr>
        <w:shd w:val="clear" w:color="auto" w:fill="FFFFFF"/>
        <w:spacing w:before="100" w:beforeAutospacing="1" w:after="100" w:afterAutospacing="1" w:line="240" w:lineRule="auto"/>
        <w:rPr>
          <w:rFonts w:ascii="PT-Astra-Sans-Regular" w:eastAsia="Times New Roman" w:hAnsi="PT-Astra-Sans-Regular" w:cs="Times New Roman"/>
          <w:color w:val="252525"/>
          <w:sz w:val="19"/>
          <w:szCs w:val="19"/>
          <w:lang w:eastAsia="ru-RU"/>
        </w:rPr>
      </w:pPr>
      <w:r w:rsidRPr="00B339B0">
        <w:rPr>
          <w:rFonts w:ascii="PT-Astra-Sans-Regular" w:eastAsia="Times New Roman" w:hAnsi="PT-Astra-Sans-Regular" w:cs="Times New Roman"/>
          <w:color w:val="252525"/>
          <w:sz w:val="19"/>
          <w:szCs w:val="19"/>
          <w:lang w:eastAsia="ru-RU"/>
        </w:rPr>
        <w:t>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акта).Для цифровых финансовых активов, цифровых прав и цифровой валюты также указывается дата их отчуждения.</w:t>
      </w:r>
    </w:p>
    <w:p w:rsidR="00560C54" w:rsidRPr="0000530B" w:rsidRDefault="00560C54" w:rsidP="0000530B"/>
    <w:sectPr w:rsidR="00560C54" w:rsidRPr="0000530B"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T-Astra-Sans-Regular">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A6357"/>
    <w:multiLevelType w:val="multilevel"/>
    <w:tmpl w:val="999A4456"/>
    <w:lvl w:ilvl="0">
      <w:start w:val="15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EF3A03"/>
    <w:multiLevelType w:val="multilevel"/>
    <w:tmpl w:val="7F94C4DA"/>
    <w:lvl w:ilvl="0">
      <w:start w:val="6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3835880"/>
    <w:multiLevelType w:val="multilevel"/>
    <w:tmpl w:val="BD064586"/>
    <w:lvl w:ilvl="0">
      <w:start w:val="8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38370CC"/>
    <w:multiLevelType w:val="multilevel"/>
    <w:tmpl w:val="12E0A16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5F8352F"/>
    <w:multiLevelType w:val="multilevel"/>
    <w:tmpl w:val="28547758"/>
    <w:lvl w:ilvl="0">
      <w:start w:val="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7575431"/>
    <w:multiLevelType w:val="multilevel"/>
    <w:tmpl w:val="558E7EB6"/>
    <w:lvl w:ilvl="0">
      <w:start w:val="15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7BD7B9A"/>
    <w:multiLevelType w:val="multilevel"/>
    <w:tmpl w:val="3594D60C"/>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8097095"/>
    <w:multiLevelType w:val="multilevel"/>
    <w:tmpl w:val="BD1C862C"/>
    <w:lvl w:ilvl="0">
      <w:start w:val="20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8E6081C"/>
    <w:multiLevelType w:val="multilevel"/>
    <w:tmpl w:val="777E9084"/>
    <w:lvl w:ilvl="0">
      <w:start w:val="2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B6E23B3"/>
    <w:multiLevelType w:val="multilevel"/>
    <w:tmpl w:val="81760D3C"/>
    <w:lvl w:ilvl="0">
      <w:start w:val="9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C9B3B3C"/>
    <w:multiLevelType w:val="multilevel"/>
    <w:tmpl w:val="7926070E"/>
    <w:lvl w:ilvl="0">
      <w:start w:val="5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0E2F52E6"/>
    <w:multiLevelType w:val="multilevel"/>
    <w:tmpl w:val="F2B48DD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F0729AA"/>
    <w:multiLevelType w:val="multilevel"/>
    <w:tmpl w:val="3ABE0DAE"/>
    <w:lvl w:ilvl="0">
      <w:start w:val="15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0F833F14"/>
    <w:multiLevelType w:val="multilevel"/>
    <w:tmpl w:val="353EF452"/>
    <w:lvl w:ilvl="0">
      <w:start w:val="20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0FBF40D2"/>
    <w:multiLevelType w:val="multilevel"/>
    <w:tmpl w:val="DCB49D9E"/>
    <w:lvl w:ilvl="0">
      <w:start w:val="7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0FFB3A29"/>
    <w:multiLevelType w:val="multilevel"/>
    <w:tmpl w:val="DBC0D3F8"/>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0FFC7AFF"/>
    <w:multiLevelType w:val="multilevel"/>
    <w:tmpl w:val="D9FE6F16"/>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0C33C60"/>
    <w:multiLevelType w:val="multilevel"/>
    <w:tmpl w:val="DC927B12"/>
    <w:lvl w:ilvl="0">
      <w:start w:val="5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13F58DC"/>
    <w:multiLevelType w:val="multilevel"/>
    <w:tmpl w:val="527A7208"/>
    <w:lvl w:ilvl="0">
      <w:start w:val="5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1743F9F"/>
    <w:multiLevelType w:val="multilevel"/>
    <w:tmpl w:val="D64EFD9C"/>
    <w:lvl w:ilvl="0">
      <w:start w:val="1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1897090"/>
    <w:multiLevelType w:val="multilevel"/>
    <w:tmpl w:val="3B9E834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1A05428"/>
    <w:multiLevelType w:val="multilevel"/>
    <w:tmpl w:val="7548C824"/>
    <w:lvl w:ilvl="0">
      <w:start w:val="15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2377167"/>
    <w:multiLevelType w:val="multilevel"/>
    <w:tmpl w:val="9F7019A6"/>
    <w:lvl w:ilvl="0">
      <w:start w:val="9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8801274"/>
    <w:multiLevelType w:val="multilevel"/>
    <w:tmpl w:val="5C4890FA"/>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8E250E8"/>
    <w:multiLevelType w:val="multilevel"/>
    <w:tmpl w:val="55DEAD7A"/>
    <w:lvl w:ilvl="0">
      <w:start w:val="17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1AAC65DA"/>
    <w:multiLevelType w:val="multilevel"/>
    <w:tmpl w:val="5F64F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1C3F6224"/>
    <w:multiLevelType w:val="multilevel"/>
    <w:tmpl w:val="A412F502"/>
    <w:lvl w:ilvl="0">
      <w:start w:val="7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1933E68"/>
    <w:multiLevelType w:val="multilevel"/>
    <w:tmpl w:val="C5468620"/>
    <w:lvl w:ilvl="0">
      <w:start w:val="20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25E1C90"/>
    <w:multiLevelType w:val="multilevel"/>
    <w:tmpl w:val="FECEC992"/>
    <w:lvl w:ilvl="0">
      <w:start w:val="7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2BE07FE"/>
    <w:multiLevelType w:val="multilevel"/>
    <w:tmpl w:val="B4327070"/>
    <w:lvl w:ilvl="0">
      <w:start w:val="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3B9284F"/>
    <w:multiLevelType w:val="multilevel"/>
    <w:tmpl w:val="30C6A8E4"/>
    <w:lvl w:ilvl="0">
      <w:start w:val="1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3E11ADD"/>
    <w:multiLevelType w:val="multilevel"/>
    <w:tmpl w:val="8CE84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44236A2"/>
    <w:multiLevelType w:val="multilevel"/>
    <w:tmpl w:val="2368A870"/>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24CC4D5D"/>
    <w:multiLevelType w:val="multilevel"/>
    <w:tmpl w:val="4C247590"/>
    <w:lvl w:ilvl="0">
      <w:start w:val="17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251C6BFD"/>
    <w:multiLevelType w:val="multilevel"/>
    <w:tmpl w:val="2DF0C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25B704D3"/>
    <w:multiLevelType w:val="multilevel"/>
    <w:tmpl w:val="84AEA508"/>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269A16CB"/>
    <w:multiLevelType w:val="multilevel"/>
    <w:tmpl w:val="62E0A516"/>
    <w:lvl w:ilvl="0">
      <w:start w:val="14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26E84A27"/>
    <w:multiLevelType w:val="multilevel"/>
    <w:tmpl w:val="17661EAE"/>
    <w:lvl w:ilvl="0">
      <w:start w:val="14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293A3D99"/>
    <w:multiLevelType w:val="multilevel"/>
    <w:tmpl w:val="B9F8D51E"/>
    <w:lvl w:ilvl="0">
      <w:start w:val="18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2A1F15D3"/>
    <w:multiLevelType w:val="multilevel"/>
    <w:tmpl w:val="085039F2"/>
    <w:lvl w:ilvl="0">
      <w:start w:val="7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2AB64231"/>
    <w:multiLevelType w:val="multilevel"/>
    <w:tmpl w:val="1D8E486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2B227773"/>
    <w:multiLevelType w:val="multilevel"/>
    <w:tmpl w:val="80BC1684"/>
    <w:lvl w:ilvl="0">
      <w:start w:val="14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2CF03A2F"/>
    <w:multiLevelType w:val="multilevel"/>
    <w:tmpl w:val="D01442C8"/>
    <w:lvl w:ilvl="0">
      <w:start w:val="1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2D252500"/>
    <w:multiLevelType w:val="multilevel"/>
    <w:tmpl w:val="6EFC2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2DD8055B"/>
    <w:multiLevelType w:val="multilevel"/>
    <w:tmpl w:val="35F8C5AC"/>
    <w:lvl w:ilvl="0">
      <w:start w:val="18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2E035CD9"/>
    <w:multiLevelType w:val="multilevel"/>
    <w:tmpl w:val="52747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2ECF04C8"/>
    <w:multiLevelType w:val="multilevel"/>
    <w:tmpl w:val="1B862F96"/>
    <w:lvl w:ilvl="0">
      <w:start w:val="16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2F174EC6"/>
    <w:multiLevelType w:val="multilevel"/>
    <w:tmpl w:val="969A0872"/>
    <w:lvl w:ilvl="0">
      <w:start w:val="8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31900F3B"/>
    <w:multiLevelType w:val="multilevel"/>
    <w:tmpl w:val="E688B47A"/>
    <w:lvl w:ilvl="0">
      <w:start w:val="5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33242811"/>
    <w:multiLevelType w:val="multilevel"/>
    <w:tmpl w:val="89C2377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33627ACF"/>
    <w:multiLevelType w:val="multilevel"/>
    <w:tmpl w:val="55D8AD4C"/>
    <w:lvl w:ilvl="0">
      <w:start w:val="18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33F620E7"/>
    <w:multiLevelType w:val="multilevel"/>
    <w:tmpl w:val="016019F4"/>
    <w:lvl w:ilvl="0">
      <w:start w:val="7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34F27368"/>
    <w:multiLevelType w:val="multilevel"/>
    <w:tmpl w:val="67D25064"/>
    <w:lvl w:ilvl="0">
      <w:start w:val="8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36FF1ADF"/>
    <w:multiLevelType w:val="multilevel"/>
    <w:tmpl w:val="219CD69E"/>
    <w:lvl w:ilvl="0">
      <w:start w:val="9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387A5169"/>
    <w:multiLevelType w:val="multilevel"/>
    <w:tmpl w:val="FC84F822"/>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38D21CDA"/>
    <w:multiLevelType w:val="multilevel"/>
    <w:tmpl w:val="190A1C72"/>
    <w:lvl w:ilvl="0">
      <w:start w:val="1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39245FC5"/>
    <w:multiLevelType w:val="multilevel"/>
    <w:tmpl w:val="9630585E"/>
    <w:lvl w:ilvl="0">
      <w:start w:val="1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395A71C8"/>
    <w:multiLevelType w:val="multilevel"/>
    <w:tmpl w:val="BF1874DE"/>
    <w:lvl w:ilvl="0">
      <w:start w:val="9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39AB052C"/>
    <w:multiLevelType w:val="multilevel"/>
    <w:tmpl w:val="105027BA"/>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39E8457E"/>
    <w:multiLevelType w:val="multilevel"/>
    <w:tmpl w:val="8C0C12E2"/>
    <w:lvl w:ilvl="0">
      <w:start w:val="19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3A4E073E"/>
    <w:multiLevelType w:val="multilevel"/>
    <w:tmpl w:val="FF2E4F5E"/>
    <w:lvl w:ilvl="0">
      <w:start w:val="8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3AC719B2"/>
    <w:multiLevelType w:val="multilevel"/>
    <w:tmpl w:val="E73A29DE"/>
    <w:lvl w:ilvl="0">
      <w:start w:val="1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3B8C37A9"/>
    <w:multiLevelType w:val="multilevel"/>
    <w:tmpl w:val="0F1AC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3CB9447C"/>
    <w:multiLevelType w:val="multilevel"/>
    <w:tmpl w:val="22047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3D5E71A9"/>
    <w:multiLevelType w:val="multilevel"/>
    <w:tmpl w:val="4052E6DE"/>
    <w:lvl w:ilvl="0">
      <w:start w:val="15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3F3A4F6A"/>
    <w:multiLevelType w:val="multilevel"/>
    <w:tmpl w:val="C4A0DCBE"/>
    <w:lvl w:ilvl="0">
      <w:start w:val="20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3F480028"/>
    <w:multiLevelType w:val="multilevel"/>
    <w:tmpl w:val="5664AB12"/>
    <w:lvl w:ilvl="0">
      <w:start w:val="8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41C61729"/>
    <w:multiLevelType w:val="multilevel"/>
    <w:tmpl w:val="891C5D3A"/>
    <w:lvl w:ilvl="0">
      <w:start w:val="1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41EA6F1C"/>
    <w:multiLevelType w:val="multilevel"/>
    <w:tmpl w:val="AA62EF60"/>
    <w:lvl w:ilvl="0">
      <w:start w:val="10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42F73640"/>
    <w:multiLevelType w:val="multilevel"/>
    <w:tmpl w:val="C24A3F86"/>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435D790C"/>
    <w:multiLevelType w:val="multilevel"/>
    <w:tmpl w:val="3478697A"/>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438918B8"/>
    <w:multiLevelType w:val="multilevel"/>
    <w:tmpl w:val="E1A069C8"/>
    <w:lvl w:ilvl="0">
      <w:start w:val="1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nsid w:val="45E11988"/>
    <w:multiLevelType w:val="multilevel"/>
    <w:tmpl w:val="73B09A94"/>
    <w:lvl w:ilvl="0">
      <w:start w:val="6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46B72EDC"/>
    <w:multiLevelType w:val="multilevel"/>
    <w:tmpl w:val="F26E1794"/>
    <w:lvl w:ilvl="0">
      <w:start w:val="19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495D3D3E"/>
    <w:multiLevelType w:val="multilevel"/>
    <w:tmpl w:val="81AAD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4A962C83"/>
    <w:multiLevelType w:val="multilevel"/>
    <w:tmpl w:val="CFDCC00C"/>
    <w:lvl w:ilvl="0">
      <w:start w:val="17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nsid w:val="4C5A66B7"/>
    <w:multiLevelType w:val="multilevel"/>
    <w:tmpl w:val="B49C5944"/>
    <w:lvl w:ilvl="0">
      <w:start w:val="18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4C8D0D62"/>
    <w:multiLevelType w:val="multilevel"/>
    <w:tmpl w:val="1D780F9C"/>
    <w:lvl w:ilvl="0">
      <w:start w:val="1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4E2D54C3"/>
    <w:multiLevelType w:val="multilevel"/>
    <w:tmpl w:val="186AE2EE"/>
    <w:lvl w:ilvl="0">
      <w:start w:val="14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4EB94CCD"/>
    <w:multiLevelType w:val="multilevel"/>
    <w:tmpl w:val="327C4292"/>
    <w:lvl w:ilvl="0">
      <w:start w:val="17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4FA126DB"/>
    <w:multiLevelType w:val="multilevel"/>
    <w:tmpl w:val="CBECD828"/>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nsid w:val="52BE0A71"/>
    <w:multiLevelType w:val="multilevel"/>
    <w:tmpl w:val="8806F226"/>
    <w:lvl w:ilvl="0">
      <w:start w:val="6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nsid w:val="52D4578A"/>
    <w:multiLevelType w:val="multilevel"/>
    <w:tmpl w:val="481E2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538C7969"/>
    <w:multiLevelType w:val="multilevel"/>
    <w:tmpl w:val="2B0A95D2"/>
    <w:lvl w:ilvl="0">
      <w:start w:val="2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nsid w:val="53D97917"/>
    <w:multiLevelType w:val="multilevel"/>
    <w:tmpl w:val="5DB416D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nsid w:val="566825C2"/>
    <w:multiLevelType w:val="multilevel"/>
    <w:tmpl w:val="9224F0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57F17943"/>
    <w:multiLevelType w:val="multilevel"/>
    <w:tmpl w:val="872AC130"/>
    <w:lvl w:ilvl="0">
      <w:start w:val="15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nsid w:val="580B69CE"/>
    <w:multiLevelType w:val="multilevel"/>
    <w:tmpl w:val="8E9CA35C"/>
    <w:lvl w:ilvl="0">
      <w:start w:val="1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nsid w:val="5A47220B"/>
    <w:multiLevelType w:val="multilevel"/>
    <w:tmpl w:val="6D560582"/>
    <w:lvl w:ilvl="0">
      <w:start w:val="1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nsid w:val="5BC26F96"/>
    <w:multiLevelType w:val="multilevel"/>
    <w:tmpl w:val="50CE5EDA"/>
    <w:lvl w:ilvl="0">
      <w:start w:val="17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nsid w:val="5C29489D"/>
    <w:multiLevelType w:val="multilevel"/>
    <w:tmpl w:val="FD24F140"/>
    <w:lvl w:ilvl="0">
      <w:start w:val="4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nsid w:val="5EFA7041"/>
    <w:multiLevelType w:val="multilevel"/>
    <w:tmpl w:val="71B0FD76"/>
    <w:lvl w:ilvl="0">
      <w:start w:val="19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nsid w:val="5F7D7AEE"/>
    <w:multiLevelType w:val="multilevel"/>
    <w:tmpl w:val="80C8E420"/>
    <w:lvl w:ilvl="0">
      <w:start w:val="18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nsid w:val="60A55F35"/>
    <w:multiLevelType w:val="multilevel"/>
    <w:tmpl w:val="82C0A188"/>
    <w:lvl w:ilvl="0">
      <w:start w:val="8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nsid w:val="60F13E36"/>
    <w:multiLevelType w:val="multilevel"/>
    <w:tmpl w:val="C21E7E9A"/>
    <w:lvl w:ilvl="0">
      <w:start w:val="1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61EB2F55"/>
    <w:multiLevelType w:val="multilevel"/>
    <w:tmpl w:val="25B2A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62DA215B"/>
    <w:multiLevelType w:val="multilevel"/>
    <w:tmpl w:val="D36EB908"/>
    <w:lvl w:ilvl="0">
      <w:start w:val="5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nsid w:val="65BA68BB"/>
    <w:multiLevelType w:val="multilevel"/>
    <w:tmpl w:val="1194DA98"/>
    <w:lvl w:ilvl="0">
      <w:start w:val="17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nsid w:val="66191E7F"/>
    <w:multiLevelType w:val="multilevel"/>
    <w:tmpl w:val="46D25666"/>
    <w:lvl w:ilvl="0">
      <w:start w:val="10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66B8653E"/>
    <w:multiLevelType w:val="multilevel"/>
    <w:tmpl w:val="A2CACA28"/>
    <w:lvl w:ilvl="0">
      <w:start w:val="1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nsid w:val="68FC65FA"/>
    <w:multiLevelType w:val="multilevel"/>
    <w:tmpl w:val="D2664500"/>
    <w:lvl w:ilvl="0">
      <w:start w:val="1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nsid w:val="690E0313"/>
    <w:multiLevelType w:val="multilevel"/>
    <w:tmpl w:val="54465812"/>
    <w:lvl w:ilvl="0">
      <w:start w:val="4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nsid w:val="690E0AF2"/>
    <w:multiLevelType w:val="multilevel"/>
    <w:tmpl w:val="08D646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nsid w:val="6A57572A"/>
    <w:multiLevelType w:val="multilevel"/>
    <w:tmpl w:val="687819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nsid w:val="6AA9305E"/>
    <w:multiLevelType w:val="multilevel"/>
    <w:tmpl w:val="9CE8EA9C"/>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nsid w:val="6AFD33FC"/>
    <w:multiLevelType w:val="multilevel"/>
    <w:tmpl w:val="0BCE1AAA"/>
    <w:lvl w:ilvl="0">
      <w:start w:val="1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nsid w:val="6BF722E1"/>
    <w:multiLevelType w:val="multilevel"/>
    <w:tmpl w:val="98463C1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nsid w:val="6C2A5B55"/>
    <w:multiLevelType w:val="multilevel"/>
    <w:tmpl w:val="213C503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nsid w:val="6DE54AAF"/>
    <w:multiLevelType w:val="multilevel"/>
    <w:tmpl w:val="E040843E"/>
    <w:lvl w:ilvl="0">
      <w:start w:val="1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nsid w:val="6DEC42EF"/>
    <w:multiLevelType w:val="multilevel"/>
    <w:tmpl w:val="2F4038B4"/>
    <w:lvl w:ilvl="0">
      <w:start w:val="1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nsid w:val="6E0D2BEC"/>
    <w:multiLevelType w:val="multilevel"/>
    <w:tmpl w:val="8D8EE43A"/>
    <w:lvl w:ilvl="0">
      <w:start w:val="20"/>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nsid w:val="6F0C769C"/>
    <w:multiLevelType w:val="multilevel"/>
    <w:tmpl w:val="3AC29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nsid w:val="705116A2"/>
    <w:multiLevelType w:val="multilevel"/>
    <w:tmpl w:val="01E02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nsid w:val="715A5CD4"/>
    <w:multiLevelType w:val="multilevel"/>
    <w:tmpl w:val="0B6E0014"/>
    <w:lvl w:ilvl="0">
      <w:start w:val="5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nsid w:val="719F386D"/>
    <w:multiLevelType w:val="multilevel"/>
    <w:tmpl w:val="C7C08980"/>
    <w:lvl w:ilvl="0">
      <w:start w:val="10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nsid w:val="733B6C53"/>
    <w:multiLevelType w:val="multilevel"/>
    <w:tmpl w:val="07E07CCA"/>
    <w:lvl w:ilvl="0">
      <w:start w:val="16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nsid w:val="788E32BA"/>
    <w:multiLevelType w:val="multilevel"/>
    <w:tmpl w:val="8BACA5EE"/>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nsid w:val="7A3B04BB"/>
    <w:multiLevelType w:val="multilevel"/>
    <w:tmpl w:val="5E14A7C4"/>
    <w:lvl w:ilvl="0">
      <w:start w:val="19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nsid w:val="7DD077F0"/>
    <w:multiLevelType w:val="multilevel"/>
    <w:tmpl w:val="240C56EE"/>
    <w:lvl w:ilvl="0">
      <w:start w:val="19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nsid w:val="7F17714A"/>
    <w:multiLevelType w:val="multilevel"/>
    <w:tmpl w:val="DB8637B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nsid w:val="7F1810FA"/>
    <w:multiLevelType w:val="multilevel"/>
    <w:tmpl w:val="FF8E873A"/>
    <w:lvl w:ilvl="0">
      <w:start w:val="4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12"/>
  </w:num>
  <w:num w:numId="2">
    <w:abstractNumId w:val="62"/>
  </w:num>
  <w:num w:numId="3">
    <w:abstractNumId w:val="25"/>
  </w:num>
  <w:num w:numId="4">
    <w:abstractNumId w:val="85"/>
  </w:num>
  <w:num w:numId="5">
    <w:abstractNumId w:val="45"/>
  </w:num>
  <w:num w:numId="6">
    <w:abstractNumId w:val="103"/>
  </w:num>
  <w:num w:numId="7">
    <w:abstractNumId w:val="58"/>
  </w:num>
  <w:num w:numId="8">
    <w:abstractNumId w:val="49"/>
  </w:num>
  <w:num w:numId="9">
    <w:abstractNumId w:val="84"/>
  </w:num>
  <w:num w:numId="10">
    <w:abstractNumId w:val="3"/>
  </w:num>
  <w:num w:numId="11">
    <w:abstractNumId w:val="107"/>
  </w:num>
  <w:num w:numId="12">
    <w:abstractNumId w:val="111"/>
  </w:num>
  <w:num w:numId="13">
    <w:abstractNumId w:val="11"/>
  </w:num>
  <w:num w:numId="14">
    <w:abstractNumId w:val="40"/>
  </w:num>
  <w:num w:numId="15">
    <w:abstractNumId w:val="20"/>
  </w:num>
  <w:num w:numId="16">
    <w:abstractNumId w:val="119"/>
  </w:num>
  <w:num w:numId="17">
    <w:abstractNumId w:val="82"/>
  </w:num>
  <w:num w:numId="18">
    <w:abstractNumId w:val="43"/>
  </w:num>
  <w:num w:numId="19">
    <w:abstractNumId w:val="106"/>
  </w:num>
  <w:num w:numId="20">
    <w:abstractNumId w:val="110"/>
  </w:num>
  <w:num w:numId="21">
    <w:abstractNumId w:val="34"/>
  </w:num>
  <w:num w:numId="22">
    <w:abstractNumId w:val="80"/>
  </w:num>
  <w:num w:numId="23">
    <w:abstractNumId w:val="116"/>
  </w:num>
  <w:num w:numId="24">
    <w:abstractNumId w:val="16"/>
  </w:num>
  <w:num w:numId="25">
    <w:abstractNumId w:val="15"/>
  </w:num>
  <w:num w:numId="26">
    <w:abstractNumId w:val="32"/>
  </w:num>
  <w:num w:numId="27">
    <w:abstractNumId w:val="69"/>
  </w:num>
  <w:num w:numId="28">
    <w:abstractNumId w:val="70"/>
  </w:num>
  <w:num w:numId="29">
    <w:abstractNumId w:val="104"/>
  </w:num>
  <w:num w:numId="30">
    <w:abstractNumId w:val="6"/>
  </w:num>
  <w:num w:numId="31">
    <w:abstractNumId w:val="23"/>
  </w:num>
  <w:num w:numId="32">
    <w:abstractNumId w:val="54"/>
  </w:num>
  <w:num w:numId="33">
    <w:abstractNumId w:val="90"/>
  </w:num>
  <w:num w:numId="34">
    <w:abstractNumId w:val="102"/>
  </w:num>
  <w:num w:numId="35">
    <w:abstractNumId w:val="101"/>
  </w:num>
  <w:num w:numId="36">
    <w:abstractNumId w:val="120"/>
  </w:num>
  <w:num w:numId="37">
    <w:abstractNumId w:val="29"/>
  </w:num>
  <w:num w:numId="38">
    <w:abstractNumId w:val="4"/>
  </w:num>
  <w:num w:numId="39">
    <w:abstractNumId w:val="113"/>
  </w:num>
  <w:num w:numId="40">
    <w:abstractNumId w:val="48"/>
  </w:num>
  <w:num w:numId="41">
    <w:abstractNumId w:val="18"/>
  </w:num>
  <w:num w:numId="42">
    <w:abstractNumId w:val="10"/>
  </w:num>
  <w:num w:numId="43">
    <w:abstractNumId w:val="17"/>
  </w:num>
  <w:num w:numId="44">
    <w:abstractNumId w:val="96"/>
  </w:num>
  <w:num w:numId="45">
    <w:abstractNumId w:val="1"/>
  </w:num>
  <w:num w:numId="46">
    <w:abstractNumId w:val="72"/>
  </w:num>
  <w:num w:numId="47">
    <w:abstractNumId w:val="81"/>
  </w:num>
  <w:num w:numId="48">
    <w:abstractNumId w:val="39"/>
  </w:num>
  <w:num w:numId="49">
    <w:abstractNumId w:val="28"/>
  </w:num>
  <w:num w:numId="50">
    <w:abstractNumId w:val="63"/>
  </w:num>
  <w:num w:numId="51">
    <w:abstractNumId w:val="95"/>
  </w:num>
  <w:num w:numId="52">
    <w:abstractNumId w:val="31"/>
  </w:num>
  <w:num w:numId="53">
    <w:abstractNumId w:val="51"/>
  </w:num>
  <w:num w:numId="54">
    <w:abstractNumId w:val="14"/>
  </w:num>
  <w:num w:numId="55">
    <w:abstractNumId w:val="26"/>
  </w:num>
  <w:num w:numId="56">
    <w:abstractNumId w:val="2"/>
  </w:num>
  <w:num w:numId="57">
    <w:abstractNumId w:val="60"/>
  </w:num>
  <w:num w:numId="58">
    <w:abstractNumId w:val="47"/>
  </w:num>
  <w:num w:numId="59">
    <w:abstractNumId w:val="35"/>
  </w:num>
  <w:num w:numId="60">
    <w:abstractNumId w:val="93"/>
  </w:num>
  <w:num w:numId="61">
    <w:abstractNumId w:val="66"/>
  </w:num>
  <w:num w:numId="62">
    <w:abstractNumId w:val="52"/>
  </w:num>
  <w:num w:numId="63">
    <w:abstractNumId w:val="53"/>
  </w:num>
  <w:num w:numId="64">
    <w:abstractNumId w:val="9"/>
  </w:num>
  <w:num w:numId="65">
    <w:abstractNumId w:val="22"/>
  </w:num>
  <w:num w:numId="66">
    <w:abstractNumId w:val="57"/>
  </w:num>
  <w:num w:numId="67">
    <w:abstractNumId w:val="114"/>
  </w:num>
  <w:num w:numId="68">
    <w:abstractNumId w:val="68"/>
  </w:num>
  <w:num w:numId="69">
    <w:abstractNumId w:val="98"/>
  </w:num>
  <w:num w:numId="70">
    <w:abstractNumId w:val="19"/>
  </w:num>
  <w:num w:numId="71">
    <w:abstractNumId w:val="109"/>
  </w:num>
  <w:num w:numId="72">
    <w:abstractNumId w:val="108"/>
  </w:num>
  <w:num w:numId="73">
    <w:abstractNumId w:val="94"/>
  </w:num>
  <w:num w:numId="74">
    <w:abstractNumId w:val="56"/>
  </w:num>
  <w:num w:numId="75">
    <w:abstractNumId w:val="71"/>
  </w:num>
  <w:num w:numId="76">
    <w:abstractNumId w:val="77"/>
  </w:num>
  <w:num w:numId="77">
    <w:abstractNumId w:val="30"/>
  </w:num>
  <w:num w:numId="78">
    <w:abstractNumId w:val="87"/>
  </w:num>
  <w:num w:numId="79">
    <w:abstractNumId w:val="61"/>
  </w:num>
  <w:num w:numId="80">
    <w:abstractNumId w:val="88"/>
  </w:num>
  <w:num w:numId="81">
    <w:abstractNumId w:val="99"/>
  </w:num>
  <w:num w:numId="82">
    <w:abstractNumId w:val="105"/>
  </w:num>
  <w:num w:numId="83">
    <w:abstractNumId w:val="42"/>
  </w:num>
  <w:num w:numId="84">
    <w:abstractNumId w:val="37"/>
  </w:num>
  <w:num w:numId="85">
    <w:abstractNumId w:val="55"/>
  </w:num>
  <w:num w:numId="86">
    <w:abstractNumId w:val="78"/>
  </w:num>
  <w:num w:numId="87">
    <w:abstractNumId w:val="41"/>
  </w:num>
  <w:num w:numId="88">
    <w:abstractNumId w:val="36"/>
  </w:num>
  <w:num w:numId="89">
    <w:abstractNumId w:val="86"/>
  </w:num>
  <w:num w:numId="90">
    <w:abstractNumId w:val="0"/>
  </w:num>
  <w:num w:numId="91">
    <w:abstractNumId w:val="12"/>
  </w:num>
  <w:num w:numId="92">
    <w:abstractNumId w:val="21"/>
  </w:num>
  <w:num w:numId="93">
    <w:abstractNumId w:val="67"/>
  </w:num>
  <w:num w:numId="94">
    <w:abstractNumId w:val="5"/>
  </w:num>
  <w:num w:numId="95">
    <w:abstractNumId w:val="64"/>
  </w:num>
  <w:num w:numId="96">
    <w:abstractNumId w:val="46"/>
  </w:num>
  <w:num w:numId="97">
    <w:abstractNumId w:val="115"/>
  </w:num>
  <w:num w:numId="98">
    <w:abstractNumId w:val="97"/>
  </w:num>
  <w:num w:numId="99">
    <w:abstractNumId w:val="89"/>
  </w:num>
  <w:num w:numId="100">
    <w:abstractNumId w:val="33"/>
  </w:num>
  <w:num w:numId="101">
    <w:abstractNumId w:val="75"/>
  </w:num>
  <w:num w:numId="102">
    <w:abstractNumId w:val="24"/>
  </w:num>
  <w:num w:numId="103">
    <w:abstractNumId w:val="79"/>
  </w:num>
  <w:num w:numId="104">
    <w:abstractNumId w:val="50"/>
  </w:num>
  <w:num w:numId="105">
    <w:abstractNumId w:val="92"/>
  </w:num>
  <w:num w:numId="106">
    <w:abstractNumId w:val="44"/>
  </w:num>
  <w:num w:numId="107">
    <w:abstractNumId w:val="100"/>
  </w:num>
  <w:num w:numId="108">
    <w:abstractNumId w:val="74"/>
  </w:num>
  <w:num w:numId="109">
    <w:abstractNumId w:val="38"/>
  </w:num>
  <w:num w:numId="110">
    <w:abstractNumId w:val="76"/>
  </w:num>
  <w:num w:numId="111">
    <w:abstractNumId w:val="117"/>
  </w:num>
  <w:num w:numId="112">
    <w:abstractNumId w:val="73"/>
  </w:num>
  <w:num w:numId="113">
    <w:abstractNumId w:val="118"/>
  </w:num>
  <w:num w:numId="114">
    <w:abstractNumId w:val="59"/>
  </w:num>
  <w:num w:numId="115">
    <w:abstractNumId w:val="91"/>
  </w:num>
  <w:num w:numId="116">
    <w:abstractNumId w:val="27"/>
  </w:num>
  <w:num w:numId="117">
    <w:abstractNumId w:val="13"/>
  </w:num>
  <w:num w:numId="118">
    <w:abstractNumId w:val="65"/>
  </w:num>
  <w:num w:numId="119">
    <w:abstractNumId w:val="7"/>
  </w:num>
  <w:num w:numId="120">
    <w:abstractNumId w:val="83"/>
  </w:num>
  <w:num w:numId="121">
    <w:abstractNumId w:val="8"/>
  </w:num>
  <w:numIdMacAtCleanup w:val="1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E7DC3"/>
    <w:rsid w:val="0000530B"/>
    <w:rsid w:val="000675F8"/>
    <w:rsid w:val="000E7DC3"/>
    <w:rsid w:val="003A0F8D"/>
    <w:rsid w:val="00401220"/>
    <w:rsid w:val="00426A0C"/>
    <w:rsid w:val="00560C54"/>
    <w:rsid w:val="00B339B0"/>
    <w:rsid w:val="00F1349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6">
    <w:name w:val="style6"/>
    <w:basedOn w:val="a"/>
    <w:rsid w:val="000E7D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0E7DC3"/>
    <w:rPr>
      <w:b/>
      <w:bCs/>
    </w:rPr>
  </w:style>
  <w:style w:type="character" w:styleId="a4">
    <w:name w:val="Emphasis"/>
    <w:basedOn w:val="a0"/>
    <w:uiPriority w:val="20"/>
    <w:qFormat/>
    <w:rsid w:val="000E7DC3"/>
    <w:rPr>
      <w:i/>
      <w:iCs/>
    </w:rPr>
  </w:style>
  <w:style w:type="paragraph" w:customStyle="1" w:styleId="style16">
    <w:name w:val="style16"/>
    <w:basedOn w:val="a"/>
    <w:rsid w:val="000E7D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0E7D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33">
    <w:name w:val="style33"/>
    <w:basedOn w:val="a"/>
    <w:rsid w:val="000E7D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2">
    <w:name w:val="style12"/>
    <w:basedOn w:val="a"/>
    <w:rsid w:val="000E7D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5">
    <w:name w:val="style25"/>
    <w:basedOn w:val="a"/>
    <w:rsid w:val="000E7D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4">
    <w:name w:val="style4"/>
    <w:basedOn w:val="a"/>
    <w:rsid w:val="000E7D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0E7D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9">
    <w:name w:val="style9"/>
    <w:basedOn w:val="a"/>
    <w:rsid w:val="000E7D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0">
    <w:name w:val="style10"/>
    <w:basedOn w:val="a"/>
    <w:rsid w:val="000E7D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B339B0"/>
    <w:rPr>
      <w:color w:val="0000FF"/>
      <w:u w:val="single"/>
    </w:rPr>
  </w:style>
  <w:style w:type="character" w:styleId="a7">
    <w:name w:val="FollowedHyperlink"/>
    <w:basedOn w:val="a0"/>
    <w:uiPriority w:val="99"/>
    <w:semiHidden/>
    <w:unhideWhenUsed/>
    <w:rsid w:val="00B339B0"/>
    <w:rPr>
      <w:color w:val="800080"/>
      <w:u w:val="single"/>
    </w:rPr>
  </w:style>
</w:styles>
</file>

<file path=word/webSettings.xml><?xml version="1.0" encoding="utf-8"?>
<w:webSettings xmlns:r="http://schemas.openxmlformats.org/officeDocument/2006/relationships" xmlns:w="http://schemas.openxmlformats.org/wordprocessingml/2006/main">
  <w:divs>
    <w:div w:id="344021227">
      <w:bodyDiv w:val="1"/>
      <w:marLeft w:val="0"/>
      <w:marRight w:val="0"/>
      <w:marTop w:val="0"/>
      <w:marBottom w:val="0"/>
      <w:divBdr>
        <w:top w:val="none" w:sz="0" w:space="0" w:color="auto"/>
        <w:left w:val="none" w:sz="0" w:space="0" w:color="auto"/>
        <w:bottom w:val="none" w:sz="0" w:space="0" w:color="auto"/>
        <w:right w:val="none" w:sz="0" w:space="0" w:color="auto"/>
      </w:divBdr>
    </w:div>
    <w:div w:id="666522118">
      <w:bodyDiv w:val="1"/>
      <w:marLeft w:val="0"/>
      <w:marRight w:val="0"/>
      <w:marTop w:val="0"/>
      <w:marBottom w:val="0"/>
      <w:divBdr>
        <w:top w:val="none" w:sz="0" w:space="0" w:color="auto"/>
        <w:left w:val="none" w:sz="0" w:space="0" w:color="auto"/>
        <w:bottom w:val="none" w:sz="0" w:space="0" w:color="auto"/>
        <w:right w:val="none" w:sz="0" w:space="0" w:color="auto"/>
      </w:divBdr>
    </w:div>
    <w:div w:id="1098140891">
      <w:bodyDiv w:val="1"/>
      <w:marLeft w:val="0"/>
      <w:marRight w:val="0"/>
      <w:marTop w:val="0"/>
      <w:marBottom w:val="0"/>
      <w:divBdr>
        <w:top w:val="none" w:sz="0" w:space="0" w:color="auto"/>
        <w:left w:val="none" w:sz="0" w:space="0" w:color="auto"/>
        <w:bottom w:val="none" w:sz="0" w:space="0" w:color="auto"/>
        <w:right w:val="none" w:sz="0" w:space="0" w:color="auto"/>
      </w:divBdr>
    </w:div>
    <w:div w:id="1221356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EEDDD06F168B694690D2DE649735BC9E53CBFC16FEC31087E4E96CAJ2nFL" TargetMode="External"/><Relationship Id="rId13" Type="http://schemas.openxmlformats.org/officeDocument/2006/relationships/hyperlink" Target="https://gossluzhba.gov.ru/anticorruption/spravki_bk" TargetMode="External"/><Relationship Id="rId18" Type="http://schemas.openxmlformats.org/officeDocument/2006/relationships/hyperlink" Target="https://www.gibdd.ru/r/66/contacts/div1165058/" TargetMode="External"/><Relationship Id="rId26" Type="http://schemas.openxmlformats.org/officeDocument/2006/relationships/hyperlink" Target="https://www.cbr.ru/currency_base/daily/" TargetMode="External"/><Relationship Id="rId3" Type="http://schemas.openxmlformats.org/officeDocument/2006/relationships/settings" Target="settings.xml"/><Relationship Id="rId21" Type="http://schemas.openxmlformats.org/officeDocument/2006/relationships/hyperlink" Target="http://www.cbr.ru/vfs/registers/infr/list_invest_platform_op.xlsx" TargetMode="External"/><Relationship Id="rId7" Type="http://schemas.openxmlformats.org/officeDocument/2006/relationships/hyperlink" Target="consultantplus://offline/ref=176F7DE9F43BBC5D4BD135AAE1CAD04D0FAF9650A130B33DA87DA13E97FAF95DCF18F97FDC1FE2FAH7g2M" TargetMode="External"/><Relationship Id="rId12" Type="http://schemas.openxmlformats.org/officeDocument/2006/relationships/hyperlink" Target="http://www.kremlin.ru/structure/additional/12" TargetMode="External"/><Relationship Id="rId17" Type="http://schemas.openxmlformats.org/officeDocument/2006/relationships/hyperlink" Target="https://www.gibdd.ru/r/77/contacts/div1145039/" TargetMode="External"/><Relationship Id="rId25" Type="http://schemas.openxmlformats.org/officeDocument/2006/relationships/hyperlink" Target="https://mintrud.gov.ru/ministry/programms/anticorruption/9/21" TargetMode="External"/><Relationship Id="rId2" Type="http://schemas.openxmlformats.org/officeDocument/2006/relationships/styles" Target="styles.xml"/><Relationship Id="rId16" Type="http://schemas.openxmlformats.org/officeDocument/2006/relationships/hyperlink" Target="https://lk.rosreestr.ru/eservices/real-estate-objects-online" TargetMode="External"/><Relationship Id="rId20" Type="http://schemas.openxmlformats.org/officeDocument/2006/relationships/hyperlink" Target="https://cbr.ru/vfs/registers/infr/list_OIS.xlsx" TargetMode="External"/><Relationship Id="rId1" Type="http://schemas.openxmlformats.org/officeDocument/2006/relationships/numbering" Target="numbering.xml"/><Relationship Id="rId6" Type="http://schemas.openxmlformats.org/officeDocument/2006/relationships/hyperlink" Target="consultantplus://offline/ref=C9E7374AA1332C6CF9FF0059DC9BC42D7E0C4094E90E8D4E87A0DE0B00JBsBL" TargetMode="External"/><Relationship Id="rId11" Type="http://schemas.openxmlformats.org/officeDocument/2006/relationships/hyperlink" Target="consultantplus://offline/ref=33E7B6DD529722622844D6F9EBC8DBA03B3FAEDA9118A1613233FFF35FCD6ECFCAED66496D73EC2Di9vDO" TargetMode="External"/><Relationship Id="rId24" Type="http://schemas.openxmlformats.org/officeDocument/2006/relationships/hyperlink" Target="https://www.cbr.ru/banking_sector/likvidbase/" TargetMode="External"/><Relationship Id="rId5" Type="http://schemas.openxmlformats.org/officeDocument/2006/relationships/hyperlink" Target="consultantplus://offline/ref=57E0B1C8ADAC653FBEA55D1E9049ED91A63B5BC1BDB036D12C5B445229pEa3J" TargetMode="External"/><Relationship Id="rId15" Type="http://schemas.openxmlformats.org/officeDocument/2006/relationships/hyperlink" Target="https://mintrud.gov.ru/docs/1872" TargetMode="External"/><Relationship Id="rId23" Type="http://schemas.openxmlformats.org/officeDocument/2006/relationships/hyperlink" Target="https://www.nalog.ru/rn77/related_activities/accounting/bank_account/" TargetMode="External"/><Relationship Id="rId28" Type="http://schemas.openxmlformats.org/officeDocument/2006/relationships/theme" Target="theme/theme1.xml"/><Relationship Id="rId10" Type="http://schemas.openxmlformats.org/officeDocument/2006/relationships/hyperlink" Target="consultantplus://offline/ref=7F2EEDDD06F168B694690D2DE649735BC9E53CBFC16FEC31087E4E96CAJ2nFL" TargetMode="External"/><Relationship Id="rId19" Type="http://schemas.openxmlformats.org/officeDocument/2006/relationships/hyperlink" Target="https://www.gibdd.ru/r/66/contacts/div1165043/" TargetMode="External"/><Relationship Id="rId4" Type="http://schemas.openxmlformats.org/officeDocument/2006/relationships/webSettings" Target="webSettings.xml"/><Relationship Id="rId9" Type="http://schemas.openxmlformats.org/officeDocument/2006/relationships/hyperlink" Target="consultantplus://offline/ref=3743F552A0D416E80BEAF690826125BB530BB097B6A5A5C17137C1E72FF3E91DCF3284BA9D2A6279g3rBM" TargetMode="External"/><Relationship Id="rId14" Type="http://schemas.openxmlformats.org/officeDocument/2006/relationships/hyperlink" Target="https://www.cbr.ru/currency_base/daily/" TargetMode="External"/><Relationship Id="rId22" Type="http://schemas.openxmlformats.org/officeDocument/2006/relationships/hyperlink" Target="https://www.cbr.ru/hd_base/metall/metall_base_new/"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25950</Words>
  <Characters>147919</Characters>
  <Application>Microsoft Office Word</Application>
  <DocSecurity>0</DocSecurity>
  <Lines>1232</Lines>
  <Paragraphs>347</Paragraphs>
  <ScaleCrop>false</ScaleCrop>
  <Company>SPecialiST RePack</Company>
  <LinksUpToDate>false</LinksUpToDate>
  <CharactersWithSpaces>173522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9</cp:revision>
  <dcterms:created xsi:type="dcterms:W3CDTF">2023-10-18T06:40:00Z</dcterms:created>
  <dcterms:modified xsi:type="dcterms:W3CDTF">2023-10-18T06:51:00Z</dcterms:modified>
</cp:coreProperties>
</file>