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r w:rsidRPr="00077ACD">
        <w:rPr>
          <w:rFonts w:eastAsia="Calibri"/>
          <w:b/>
          <w:bCs/>
          <w:sz w:val="32"/>
          <w:szCs w:val="32"/>
        </w:rPr>
        <w:t xml:space="preserve">АДМИНИСТРАЦИЯ </w:t>
      </w:r>
      <w:r w:rsidR="00E6461C" w:rsidRPr="00077ACD">
        <w:rPr>
          <w:rFonts w:eastAsia="Calibri"/>
          <w:b/>
          <w:bCs/>
          <w:sz w:val="32"/>
          <w:szCs w:val="32"/>
        </w:rPr>
        <w:t>ПЕТРОВСКОГО</w:t>
      </w:r>
      <w:r w:rsidRPr="00077ACD">
        <w:rPr>
          <w:rFonts w:eastAsia="Calibri"/>
          <w:b/>
          <w:bCs/>
          <w:sz w:val="32"/>
          <w:szCs w:val="32"/>
        </w:rPr>
        <w:t xml:space="preserve"> СЕЛЬСОВЕТА </w:t>
      </w:r>
    </w:p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077ACD">
        <w:rPr>
          <w:rFonts w:eastAsia="Calibri"/>
          <w:b/>
          <w:bCs/>
          <w:sz w:val="32"/>
          <w:szCs w:val="32"/>
        </w:rPr>
        <w:t xml:space="preserve">ХОМУТОВСКОГО </w:t>
      </w:r>
      <w:proofErr w:type="gramStart"/>
      <w:r w:rsidRPr="00077ACD">
        <w:rPr>
          <w:rFonts w:eastAsia="Calibri"/>
          <w:b/>
          <w:bCs/>
          <w:sz w:val="32"/>
          <w:szCs w:val="32"/>
        </w:rPr>
        <w:t xml:space="preserve">РАЙОНА </w:t>
      </w:r>
      <w:r w:rsidR="00077ACD" w:rsidRPr="00077ACD">
        <w:rPr>
          <w:rFonts w:eastAsia="Calibri"/>
          <w:b/>
          <w:bCs/>
          <w:sz w:val="32"/>
          <w:szCs w:val="32"/>
        </w:rPr>
        <w:t xml:space="preserve"> </w:t>
      </w:r>
      <w:r w:rsidRPr="00077ACD">
        <w:rPr>
          <w:rFonts w:eastAsia="Calibri"/>
          <w:b/>
          <w:sz w:val="32"/>
          <w:szCs w:val="32"/>
        </w:rPr>
        <w:t>КУРСКОЙ</w:t>
      </w:r>
      <w:proofErr w:type="gramEnd"/>
      <w:r w:rsidRPr="00077ACD">
        <w:rPr>
          <w:rFonts w:eastAsia="Calibri"/>
          <w:b/>
          <w:sz w:val="32"/>
          <w:szCs w:val="32"/>
        </w:rPr>
        <w:t xml:space="preserve"> ОБЛАСТИ</w:t>
      </w:r>
    </w:p>
    <w:p w:rsidR="00293585" w:rsidRPr="00077ACD" w:rsidRDefault="00293585" w:rsidP="00293585">
      <w:pPr>
        <w:widowControl w:val="0"/>
        <w:jc w:val="center"/>
        <w:rPr>
          <w:rFonts w:eastAsia="Calibri"/>
          <w:b/>
          <w:bCs/>
          <w:color w:val="000000"/>
          <w:spacing w:val="80"/>
          <w:sz w:val="32"/>
          <w:szCs w:val="32"/>
          <w:lang w:bidi="ru-RU"/>
        </w:rPr>
      </w:pPr>
    </w:p>
    <w:p w:rsidR="00293585" w:rsidRPr="00077ACD" w:rsidRDefault="00293585" w:rsidP="00293585">
      <w:pPr>
        <w:widowControl w:val="0"/>
        <w:jc w:val="center"/>
        <w:rPr>
          <w:rFonts w:eastAsia="Calibri"/>
          <w:b/>
          <w:spacing w:val="40"/>
          <w:sz w:val="32"/>
          <w:szCs w:val="32"/>
        </w:rPr>
      </w:pPr>
      <w:r w:rsidRPr="00077ACD">
        <w:rPr>
          <w:rFonts w:eastAsia="Calibri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293585" w:rsidRPr="00077ACD" w:rsidRDefault="00293585" w:rsidP="00293585">
      <w:pPr>
        <w:autoSpaceDN w:val="0"/>
        <w:jc w:val="center"/>
        <w:rPr>
          <w:rFonts w:eastAsiaTheme="minorHAnsi"/>
          <w:b/>
          <w:sz w:val="32"/>
          <w:szCs w:val="32"/>
          <w:lang w:eastAsia="zh-CN"/>
        </w:rPr>
      </w:pPr>
    </w:p>
    <w:p w:rsidR="00293585" w:rsidRPr="00077ACD" w:rsidRDefault="00E6461C" w:rsidP="00293585">
      <w:pPr>
        <w:jc w:val="center"/>
        <w:rPr>
          <w:b/>
          <w:sz w:val="32"/>
          <w:szCs w:val="32"/>
          <w:lang w:eastAsia="en-US"/>
        </w:rPr>
      </w:pPr>
      <w:r w:rsidRPr="00077ACD">
        <w:rPr>
          <w:b/>
          <w:sz w:val="32"/>
          <w:szCs w:val="32"/>
        </w:rPr>
        <w:t xml:space="preserve">от </w:t>
      </w:r>
      <w:r w:rsidR="00077ACD">
        <w:rPr>
          <w:b/>
          <w:sz w:val="32"/>
          <w:szCs w:val="32"/>
        </w:rPr>
        <w:t>25.08. 2021</w:t>
      </w:r>
      <w:bookmarkStart w:id="0" w:name="_GoBack"/>
      <w:bookmarkEnd w:id="0"/>
      <w:r w:rsidRPr="00077ACD">
        <w:rPr>
          <w:b/>
          <w:sz w:val="32"/>
          <w:szCs w:val="32"/>
        </w:rPr>
        <w:t xml:space="preserve"> № </w:t>
      </w:r>
      <w:r w:rsidR="00077ACD">
        <w:rPr>
          <w:b/>
          <w:sz w:val="32"/>
          <w:szCs w:val="32"/>
        </w:rPr>
        <w:t>42-па</w:t>
      </w:r>
    </w:p>
    <w:p w:rsidR="00293585" w:rsidRPr="00077ACD" w:rsidRDefault="00293585" w:rsidP="00293585">
      <w:pPr>
        <w:jc w:val="center"/>
        <w:rPr>
          <w:b/>
          <w:sz w:val="32"/>
          <w:szCs w:val="32"/>
        </w:rPr>
      </w:pPr>
      <w:r w:rsidRPr="00077ACD">
        <w:rPr>
          <w:b/>
          <w:sz w:val="32"/>
          <w:szCs w:val="32"/>
        </w:rPr>
        <w:t xml:space="preserve">с. </w:t>
      </w:r>
      <w:r w:rsidR="00E6461C" w:rsidRPr="00077ACD">
        <w:rPr>
          <w:b/>
          <w:sz w:val="32"/>
          <w:szCs w:val="32"/>
        </w:rPr>
        <w:t>Поды</w:t>
      </w:r>
    </w:p>
    <w:p w:rsidR="00B370A4" w:rsidRPr="00E6461C" w:rsidRDefault="00B370A4" w:rsidP="00B370A4">
      <w:pPr>
        <w:jc w:val="center"/>
        <w:rPr>
          <w:rFonts w:eastAsia="Times New Roman CYR"/>
          <w:b/>
          <w:bCs/>
          <w:color w:val="000000"/>
          <w:spacing w:val="-2"/>
          <w:sz w:val="28"/>
          <w:szCs w:val="28"/>
        </w:rPr>
      </w:pPr>
    </w:p>
    <w:p w:rsidR="00567646" w:rsidRDefault="00B370A4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   </w:t>
      </w:r>
    </w:p>
    <w:p w:rsidR="00567646" w:rsidRPr="00E6461C" w:rsidRDefault="00567646" w:rsidP="00567646">
      <w:pPr>
        <w:ind w:right="-87"/>
        <w:jc w:val="center"/>
        <w:rPr>
          <w:sz w:val="28"/>
          <w:szCs w:val="28"/>
        </w:rPr>
      </w:pPr>
      <w:r w:rsidRPr="00E6461C">
        <w:rPr>
          <w:b/>
          <w:bCs/>
          <w:sz w:val="28"/>
          <w:szCs w:val="28"/>
        </w:rPr>
        <w:t xml:space="preserve">Об утверждении </w:t>
      </w:r>
      <w:proofErr w:type="gramStart"/>
      <w:r w:rsidRPr="00E6461C">
        <w:rPr>
          <w:b/>
          <w:bCs/>
          <w:sz w:val="28"/>
          <w:szCs w:val="28"/>
        </w:rPr>
        <w:t>Порядка  проведения</w:t>
      </w:r>
      <w:proofErr w:type="gramEnd"/>
      <w:r w:rsidRPr="00E6461C">
        <w:rPr>
          <w:b/>
          <w:bCs/>
          <w:sz w:val="28"/>
          <w:szCs w:val="28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b/>
          <w:bCs/>
          <w:sz w:val="28"/>
          <w:szCs w:val="28"/>
        </w:rPr>
        <w:t xml:space="preserve"> Администрации </w:t>
      </w:r>
      <w:r w:rsidR="002C16F7">
        <w:rPr>
          <w:b/>
          <w:bCs/>
          <w:sz w:val="28"/>
          <w:szCs w:val="28"/>
        </w:rPr>
        <w:t>Петровского</w:t>
      </w:r>
      <w:r w:rsidR="00293585" w:rsidRPr="00E6461C">
        <w:rPr>
          <w:b/>
          <w:bCs/>
          <w:sz w:val="28"/>
          <w:szCs w:val="28"/>
        </w:rPr>
        <w:t xml:space="preserve"> сельсовета</w:t>
      </w:r>
      <w:r w:rsidRPr="00E6461C">
        <w:rPr>
          <w:b/>
          <w:bCs/>
          <w:sz w:val="28"/>
          <w:szCs w:val="28"/>
        </w:rPr>
        <w:t xml:space="preserve"> Хомутовского района Курской области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        В соответствии со статьей 160.2-1 Бюджетног</w:t>
      </w:r>
      <w:r w:rsidR="00863460">
        <w:rPr>
          <w:sz w:val="28"/>
          <w:szCs w:val="28"/>
        </w:rPr>
        <w:t>о кодекса Российской Федерации,</w:t>
      </w:r>
      <w:r w:rsidRPr="00E6461C">
        <w:rPr>
          <w:sz w:val="28"/>
          <w:szCs w:val="28"/>
        </w:rPr>
        <w:t xml:space="preserve"> Администрация </w:t>
      </w:r>
      <w:r w:rsidR="002C16F7">
        <w:rPr>
          <w:sz w:val="28"/>
          <w:szCs w:val="28"/>
        </w:rPr>
        <w:t>Петровского</w:t>
      </w:r>
      <w:r w:rsidR="00293585" w:rsidRPr="00E6461C">
        <w:rPr>
          <w:sz w:val="28"/>
          <w:szCs w:val="28"/>
        </w:rPr>
        <w:t xml:space="preserve"> сельсовета Хомутовского района постановляет: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1.Утвердить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sz w:val="28"/>
          <w:szCs w:val="28"/>
        </w:rPr>
        <w:t xml:space="preserve">Администрации </w:t>
      </w:r>
      <w:r w:rsidR="002C16F7">
        <w:rPr>
          <w:sz w:val="28"/>
          <w:szCs w:val="28"/>
        </w:rPr>
        <w:t>Петровского</w:t>
      </w:r>
      <w:r w:rsidR="00293585" w:rsidRPr="00E6461C">
        <w:rPr>
          <w:sz w:val="28"/>
          <w:szCs w:val="28"/>
        </w:rPr>
        <w:t xml:space="preserve"> сельсовета</w:t>
      </w:r>
      <w:r w:rsidRPr="00E6461C">
        <w:rPr>
          <w:sz w:val="28"/>
          <w:szCs w:val="28"/>
        </w:rPr>
        <w:t xml:space="preserve"> Хомутовского района Курской области (приложение №1).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2.Контроль за выполнением настоящего постановления возложить на </w:t>
      </w:r>
      <w:r w:rsidR="00863460">
        <w:rPr>
          <w:sz w:val="28"/>
          <w:szCs w:val="28"/>
        </w:rPr>
        <w:t>главного специалиста-эксперта</w:t>
      </w:r>
      <w:r w:rsidR="00293585" w:rsidRPr="00E6461C">
        <w:rPr>
          <w:sz w:val="28"/>
          <w:szCs w:val="28"/>
        </w:rPr>
        <w:t>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>3.Постановление вступает в силу со дня его подписания.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 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 </w:t>
      </w: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293585" w:rsidRPr="00E6461C" w:rsidRDefault="00567646" w:rsidP="00567646">
      <w:pPr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Глава </w:t>
      </w:r>
      <w:r w:rsidR="002C16F7">
        <w:rPr>
          <w:sz w:val="28"/>
          <w:szCs w:val="28"/>
        </w:rPr>
        <w:t>Петровского</w:t>
      </w:r>
      <w:r w:rsidR="00293585" w:rsidRPr="00E6461C">
        <w:rPr>
          <w:sz w:val="28"/>
          <w:szCs w:val="28"/>
        </w:rPr>
        <w:t xml:space="preserve"> сельсовета</w:t>
      </w:r>
    </w:p>
    <w:p w:rsidR="00567646" w:rsidRPr="00E6461C" w:rsidRDefault="00293585" w:rsidP="00567646">
      <w:pPr>
        <w:jc w:val="both"/>
        <w:rPr>
          <w:sz w:val="28"/>
          <w:szCs w:val="28"/>
        </w:rPr>
      </w:pPr>
      <w:r w:rsidRPr="00E6461C">
        <w:rPr>
          <w:sz w:val="28"/>
          <w:szCs w:val="28"/>
        </w:rPr>
        <w:t>Хомутовского района</w:t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proofErr w:type="gramStart"/>
      <w:r w:rsidR="00567646" w:rsidRPr="00E6461C">
        <w:rPr>
          <w:sz w:val="28"/>
          <w:szCs w:val="28"/>
        </w:rPr>
        <w:tab/>
      </w:r>
      <w:r w:rsidRPr="00E6461C">
        <w:rPr>
          <w:sz w:val="28"/>
          <w:szCs w:val="28"/>
        </w:rPr>
        <w:t xml:space="preserve">  </w:t>
      </w:r>
      <w:r w:rsidR="00863460">
        <w:rPr>
          <w:sz w:val="28"/>
          <w:szCs w:val="28"/>
        </w:rPr>
        <w:t>Г.А.</w:t>
      </w:r>
      <w:proofErr w:type="gramEnd"/>
      <w:r w:rsidR="00863460">
        <w:rPr>
          <w:sz w:val="28"/>
          <w:szCs w:val="28"/>
        </w:rPr>
        <w:t xml:space="preserve"> Баранов</w:t>
      </w:r>
    </w:p>
    <w:p w:rsidR="00567646" w:rsidRPr="00E6461C" w:rsidRDefault="00567646" w:rsidP="00567646">
      <w:pPr>
        <w:pStyle w:val="af0"/>
        <w:rPr>
          <w:sz w:val="28"/>
          <w:szCs w:val="28"/>
        </w:rPr>
      </w:pPr>
    </w:p>
    <w:p w:rsidR="00567646" w:rsidRPr="00E6461C" w:rsidRDefault="00567646" w:rsidP="00567646">
      <w:pPr>
        <w:ind w:left="4962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r w:rsidRPr="00E6461C">
        <w:rPr>
          <w:sz w:val="28"/>
          <w:szCs w:val="28"/>
        </w:rPr>
        <w:lastRenderedPageBreak/>
        <w:t>Утвержден</w:t>
      </w:r>
    </w:p>
    <w:p w:rsidR="00293585" w:rsidRPr="00E6461C" w:rsidRDefault="00567646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 xml:space="preserve">постановлением Администрации </w:t>
      </w:r>
    </w:p>
    <w:p w:rsidR="00293585" w:rsidRPr="00E6461C" w:rsidRDefault="002C16F7" w:rsidP="0056764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293585" w:rsidRPr="00E6461C">
        <w:rPr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 xml:space="preserve"> от </w:t>
      </w:r>
      <w:r w:rsidR="00077ACD">
        <w:rPr>
          <w:sz w:val="28"/>
          <w:szCs w:val="28"/>
        </w:rPr>
        <w:t>25.08.</w:t>
      </w:r>
      <w:r w:rsidR="00C52003">
        <w:rPr>
          <w:sz w:val="28"/>
          <w:szCs w:val="28"/>
        </w:rPr>
        <w:t xml:space="preserve"> </w:t>
      </w:r>
      <w:r w:rsidR="00BA18C1" w:rsidRPr="00E6461C">
        <w:rPr>
          <w:sz w:val="28"/>
          <w:szCs w:val="28"/>
        </w:rPr>
        <w:t>202</w:t>
      </w:r>
      <w:r w:rsidR="00293585" w:rsidRPr="00E6461C">
        <w:rPr>
          <w:sz w:val="28"/>
          <w:szCs w:val="28"/>
        </w:rPr>
        <w:t>1</w:t>
      </w:r>
      <w:r w:rsidR="00077ACD">
        <w:rPr>
          <w:sz w:val="28"/>
          <w:szCs w:val="28"/>
        </w:rPr>
        <w:t xml:space="preserve"> </w:t>
      </w:r>
      <w:r w:rsidRPr="00E6461C">
        <w:rPr>
          <w:sz w:val="28"/>
          <w:szCs w:val="28"/>
        </w:rPr>
        <w:t xml:space="preserve">№ </w:t>
      </w:r>
      <w:r w:rsidR="00077ACD">
        <w:rPr>
          <w:sz w:val="28"/>
          <w:szCs w:val="28"/>
        </w:rPr>
        <w:t>42-па</w:t>
      </w:r>
      <w:r w:rsidR="00C52003">
        <w:rPr>
          <w:sz w:val="28"/>
          <w:szCs w:val="28"/>
        </w:rPr>
        <w:t xml:space="preserve">  </w:t>
      </w:r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bookmarkStart w:id="1" w:name="P37"/>
      <w:bookmarkEnd w:id="1"/>
      <w:r w:rsidRPr="00E6461C">
        <w:rPr>
          <w:b/>
          <w:sz w:val="28"/>
          <w:szCs w:val="28"/>
        </w:rPr>
        <w:t>Порядок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r w:rsidRPr="00E6461C">
        <w:rPr>
          <w:b/>
          <w:sz w:val="28"/>
          <w:szCs w:val="28"/>
        </w:rPr>
        <w:t xml:space="preserve">проведения мониторинга качества финансового менеджмента 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r w:rsidRPr="00E6461C">
        <w:rPr>
          <w:b/>
          <w:sz w:val="28"/>
          <w:szCs w:val="28"/>
        </w:rPr>
        <w:t xml:space="preserve">в отношении главных администраторов средств </w:t>
      </w:r>
    </w:p>
    <w:p w:rsidR="00567646" w:rsidRPr="00E6461C" w:rsidRDefault="00567646" w:rsidP="00567646">
      <w:pPr>
        <w:jc w:val="center"/>
        <w:rPr>
          <w:sz w:val="28"/>
          <w:szCs w:val="28"/>
        </w:rPr>
      </w:pPr>
      <w:r w:rsidRPr="00E6461C">
        <w:rPr>
          <w:b/>
          <w:sz w:val="28"/>
          <w:szCs w:val="28"/>
        </w:rPr>
        <w:t xml:space="preserve">бюджета </w:t>
      </w:r>
      <w:r w:rsidR="002C16F7">
        <w:rPr>
          <w:b/>
          <w:sz w:val="28"/>
          <w:szCs w:val="28"/>
        </w:rPr>
        <w:t>Петровского</w:t>
      </w:r>
      <w:r w:rsidR="00D66A3E" w:rsidRPr="00E6461C">
        <w:rPr>
          <w:b/>
          <w:sz w:val="28"/>
          <w:szCs w:val="28"/>
        </w:rPr>
        <w:t xml:space="preserve"> сельсовета</w:t>
      </w:r>
      <w:r w:rsidRPr="00E6461C">
        <w:rPr>
          <w:b/>
          <w:sz w:val="28"/>
          <w:szCs w:val="28"/>
        </w:rPr>
        <w:t xml:space="preserve"> Хомутовского района Курской области</w:t>
      </w: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Мониторинг качества финансового менеджмента проводится Администрацией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в отношении главных администраторов средств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E6461C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E6461C">
        <w:rPr>
          <w:color w:val="000000"/>
          <w:spacing w:val="-14"/>
          <w:sz w:val="28"/>
          <w:szCs w:val="28"/>
        </w:rPr>
        <w:t>3.</w:t>
      </w:r>
      <w:r w:rsidRPr="00E6461C">
        <w:rPr>
          <w:color w:val="000000"/>
          <w:sz w:val="28"/>
          <w:szCs w:val="28"/>
        </w:rPr>
        <w:tab/>
      </w:r>
      <w:r w:rsidRPr="00E6461C">
        <w:rPr>
          <w:color w:val="000000"/>
          <w:spacing w:val="-1"/>
          <w:sz w:val="28"/>
          <w:szCs w:val="28"/>
        </w:rPr>
        <w:t xml:space="preserve">Годовой   мониторинг   качества финансового   менеджмента   за отчетный </w:t>
      </w:r>
      <w:r w:rsidRPr="00E6461C">
        <w:rPr>
          <w:color w:val="000000"/>
          <w:spacing w:val="4"/>
          <w:sz w:val="28"/>
          <w:szCs w:val="28"/>
        </w:rPr>
        <w:t xml:space="preserve">финансовый год проводится на основании источников   информации с учетом </w:t>
      </w:r>
      <w:r w:rsidRPr="00E6461C">
        <w:rPr>
          <w:color w:val="000000"/>
          <w:sz w:val="28"/>
          <w:szCs w:val="28"/>
        </w:rPr>
        <w:t xml:space="preserve">результатов внешней проверки годовой бюджетной отчетности главных </w:t>
      </w:r>
      <w:r w:rsidRPr="00E6461C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E6461C">
        <w:rPr>
          <w:color w:val="000000"/>
          <w:spacing w:val="-1"/>
          <w:sz w:val="28"/>
          <w:szCs w:val="28"/>
        </w:rPr>
        <w:t xml:space="preserve"> в срок до 01 июня года, следующего за отчетным.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61C">
        <w:rPr>
          <w:rFonts w:ascii="Times New Roman" w:hAnsi="Times New Roman" w:cs="Times New Roman"/>
          <w:sz w:val="28"/>
          <w:szCs w:val="28"/>
        </w:rPr>
        <w:t xml:space="preserve">. Правила расчета и анализа значений показателей качества 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567646" w:rsidRPr="00E6461C" w:rsidRDefault="00567646" w:rsidP="00567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 w:rsidRPr="00E6461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итоговую оценку качества   финансового   менеджмента.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 w:rsidRPr="00E6461C">
        <w:rPr>
          <w:rFonts w:ascii="Times New Roman" w:hAnsi="Times New Roman" w:cs="Times New Roman"/>
          <w:sz w:val="28"/>
          <w:szCs w:val="28"/>
        </w:rPr>
        <w:t>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6461C">
        <w:rPr>
          <w:rFonts w:ascii="Times New Roman" w:hAnsi="Times New Roman" w:cs="Times New Roman"/>
          <w:sz w:val="28"/>
          <w:szCs w:val="28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 использованием данных по форме </w:t>
      </w:r>
      <w:hyperlink r:id="rId7" w:anchor="P423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№2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Порядка. 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anchor="P890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Отчет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2C16F7">
        <w:rPr>
          <w:rFonts w:ascii="Times New Roman" w:hAnsi="Times New Roman" w:cs="Times New Roman"/>
          <w:sz w:val="28"/>
          <w:szCs w:val="28"/>
        </w:rPr>
        <w:t>Петровский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6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bookmarkStart w:id="3" w:name="_Hlk32054270"/>
      <w:r w:rsidRPr="00E6461C">
        <w:rPr>
          <w:sz w:val="28"/>
          <w:szCs w:val="28"/>
        </w:rPr>
        <w:lastRenderedPageBreak/>
        <w:t>Приложение № 1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</w:t>
      </w:r>
    </w:p>
    <w:p w:rsidR="00293585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</w:p>
    <w:p w:rsidR="00567646" w:rsidRPr="00E6461C" w:rsidRDefault="002C16F7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3"/>
      <w:bookmarkEnd w:id="4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Показатели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осуществляемого главными администраторами бюджетных</w:t>
      </w:r>
    </w:p>
    <w:p w:rsidR="00293585" w:rsidRPr="00E6461C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567646" w:rsidRPr="00E6461C">
        <w:rPr>
          <w:rFonts w:ascii="Times New Roman" w:hAnsi="Times New Roman" w:cs="Times New Roman"/>
          <w:sz w:val="28"/>
          <w:szCs w:val="28"/>
        </w:rPr>
        <w:t>по итогам отчетного финансового года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2455"/>
        <w:gridCol w:w="55"/>
        <w:gridCol w:w="1405"/>
        <w:gridCol w:w="46"/>
        <w:gridCol w:w="1035"/>
        <w:gridCol w:w="2431"/>
      </w:tblGrid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</w:p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Финансовое планирование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Про = 100 x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N,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коды классификации расходов, по которым предусмотрены ассигнования на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представленных в виде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 бюджете, представленных в виде муниципальных программ</w:t>
            </w:r>
          </w:p>
        </w:tc>
      </w:tr>
      <w:tr w:rsidR="00567646" w:rsidRPr="00E6461C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Исполнение бюджета в части расходов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(Ер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за отчетный финансовый год, кроме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программ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&lt;=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 Исполнение бюджета в части доходов</w:t>
            </w:r>
          </w:p>
        </w:tc>
      </w:tr>
      <w:tr w:rsidR="00567646" w:rsidRPr="00E6461C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3.1 Полнота зачисления платежей в бюджет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Негативным считается факт наличия невыясненных поступлений в бюджет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</w:t>
            </w:r>
          </w:p>
        </w:tc>
      </w:tr>
      <w:tr w:rsidR="00567646" w:rsidRPr="00E6461C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 = 100 x (1 -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 расценивается как недовыполнение, так и значительное перевыполнение в отчетном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- 0&lt;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Эд&gt;10%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в случае наличия дебиторской задолженности и отсутствия исполнения по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 Качество управления активами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RPr="00E6461C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2056717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результативностью использования бюджетных средств</w:t>
            </w:r>
          </w:p>
        </w:tc>
      </w:tr>
      <w:tr w:rsidR="00567646" w:rsidRPr="00E6461C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bookmarkEnd w:id="5"/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E6461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проверки годовой бюджетной отчетности главных </w:t>
            </w: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администраторов средств бюджета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правомерностью использования бюджетных средств</w:t>
            </w:r>
          </w:p>
        </w:tc>
      </w:tr>
      <w:tr w:rsidR="00567646" w:rsidRPr="00E6461C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6. Качество о</w:t>
            </w:r>
            <w:r w:rsidR="00293585" w:rsidRPr="00E646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RPr="00E6461C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6.1 Выявленные органами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отсутствие выявленных органами контроля нарушений</w:t>
            </w:r>
          </w:p>
        </w:tc>
      </w:tr>
      <w:tr w:rsidR="00567646" w:rsidRPr="00E6461C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RPr="00E6461C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suppressAutoHyphens w:val="0"/>
        <w:rPr>
          <w:rFonts w:ascii="Calibri" w:hAnsi="Calibri" w:cs="Calibri"/>
          <w:sz w:val="28"/>
          <w:szCs w:val="28"/>
        </w:rPr>
        <w:sectPr w:rsidR="00567646" w:rsidRPr="00E6461C" w:rsidSect="00077ACD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lastRenderedPageBreak/>
        <w:t>Приложение № 2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</w:p>
    <w:p w:rsidR="00567646" w:rsidRPr="00E6461C" w:rsidRDefault="00567646" w:rsidP="00567646">
      <w:pPr>
        <w:pStyle w:val="ConsPlusNormal"/>
        <w:jc w:val="right"/>
        <w:rPr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23"/>
      <w:bookmarkEnd w:id="6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Сведения,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используемые для расчета показателей качества финансового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менеджмента, осуществляемого главными администраторами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585" w:rsidRPr="00E6461C">
        <w:rPr>
          <w:rFonts w:ascii="Times New Roman" w:hAnsi="Times New Roman" w:cs="Times New Roman"/>
          <w:sz w:val="28"/>
          <w:szCs w:val="28"/>
        </w:rPr>
        <w:t>сельсовета</w:t>
      </w:r>
      <w:r w:rsidRPr="00E6461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67646" w:rsidRPr="00E6461C" w:rsidRDefault="00567646" w:rsidP="002935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наименование ГАБС Администрации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Периодичность: годовая на _____________________ 20__ г.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бюджетных ________ (количество),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 Финансовое планирование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1"/>
      <w:bookmarkEnd w:id="7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1.1. Полнота информации о расходных обязательствах: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402"/>
        <w:gridCol w:w="3010"/>
      </w:tblGrid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полнота информации о расходных обязательствах (Про),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E6461C">
        <w:rPr>
          <w:rFonts w:ascii="Times New Roman" w:hAnsi="Times New Roman" w:cs="Times New Roman"/>
          <w:sz w:val="28"/>
          <w:szCs w:val="28"/>
        </w:rPr>
        <w:t>&lt;*&gt; Информация, используемая при оценке полноты оформления расходных обязательств: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реквизиты;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59"/>
      <w:bookmarkEnd w:id="9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1.2. Доля бюджетных ассигнований, представленных в программном виде: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9"/>
        <w:gridCol w:w="3571"/>
        <w:gridCol w:w="2975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доля бюджетных ассигнований в программном виде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 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473"/>
      <w:bookmarkStart w:id="11" w:name="P486"/>
      <w:bookmarkEnd w:id="10"/>
      <w:bookmarkEnd w:id="11"/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Исполнение бюджета в части расходов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2.1. Уровень исполнения расходов за счет межбюджетных трансфертов: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 .</w:t>
            </w:r>
            <w:proofErr w:type="gramEnd"/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90"/>
      <w:bookmarkEnd w:id="12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2.2. Качество прогнозирования кассовых расходов, кроме муниципальных программ: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расходов ГАБС, кроме программ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60"/>
      <w:bookmarkEnd w:id="13"/>
      <w:r w:rsidRPr="00E6461C">
        <w:rPr>
          <w:rFonts w:ascii="Times New Roman" w:hAnsi="Times New Roman" w:cs="Times New Roman"/>
          <w:sz w:val="28"/>
          <w:szCs w:val="28"/>
        </w:rPr>
        <w:t>2.3. Качество прогнозирования кассовых расходов по программам: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программ ГАБС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3. Исполнение бюджета в части доходов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24"/>
      <w:bookmarkStart w:id="15" w:name="P648"/>
      <w:bookmarkEnd w:id="14"/>
      <w:bookmarkEnd w:id="15"/>
      <w:r w:rsidRPr="00E6461C">
        <w:rPr>
          <w:rFonts w:ascii="Times New Roman" w:hAnsi="Times New Roman" w:cs="Times New Roman"/>
          <w:sz w:val="28"/>
          <w:szCs w:val="28"/>
        </w:rPr>
        <w:t xml:space="preserve">3.1. Полнота зачисления платежей в бюджет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D66A3E"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A3E" w:rsidRPr="00E6461C">
        <w:rPr>
          <w:rFonts w:ascii="Times New Roman" w:hAnsi="Times New Roman" w:cs="Times New Roman"/>
          <w:sz w:val="28"/>
          <w:szCs w:val="28"/>
        </w:rPr>
        <w:t>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ГАБС, объем невыясненных поступлений: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010"/>
      </w:tblGrid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по зачисляемым платежам в бюджет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наличие / отсутствие невыясненных поступлений ГРБС 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662"/>
      <w:bookmarkEnd w:id="16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color w:val="000000"/>
          <w:sz w:val="28"/>
          <w:szCs w:val="28"/>
        </w:rPr>
        <w:t>3.2. Отклонение кассового исполнения по доходам</w:t>
      </w:r>
      <w:r w:rsidRPr="00E6461C">
        <w:rPr>
          <w:rFonts w:ascii="Times New Roman" w:hAnsi="Times New Roman" w:cs="Times New Roman"/>
          <w:sz w:val="28"/>
          <w:szCs w:val="28"/>
        </w:rPr>
        <w:t xml:space="preserve"> от прогноза по ГАБС: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отклонение доходов (Од),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(1 -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76"/>
      <w:bookmarkEnd w:id="17"/>
      <w:r w:rsidRPr="00E6461C">
        <w:rPr>
          <w:rFonts w:ascii="Times New Roman" w:hAnsi="Times New Roman" w:cs="Times New Roman"/>
          <w:sz w:val="28"/>
          <w:szCs w:val="28"/>
        </w:rPr>
        <w:t>3.3. Эффективность управления дебиторской задолженностью по расчетам с дебиторами по доходам: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10"/>
        <w:gridCol w:w="3010"/>
      </w:tblGrid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расчетам с дебиторами по доходам по состоянию на 1 января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Кассовое исполнение по доходам по ГАБС за отчетный финансовый год (тыс.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Показатель: эффективность управления дебиторской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задолженностью ГРБС (Эд),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4. Качество управления активами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93"/>
      <w:bookmarkStart w:id="19" w:name="_Hlk32055121"/>
      <w:bookmarkEnd w:id="18"/>
      <w:r w:rsidRPr="00E6461C">
        <w:rPr>
          <w:rFonts w:ascii="Times New Roman" w:hAnsi="Times New Roman" w:cs="Times New Roman"/>
          <w:sz w:val="28"/>
          <w:szCs w:val="28"/>
        </w:rPr>
        <w:t xml:space="preserve">4.1. Недостачи и хищения денежных средств и материальных ценностей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недостач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недостач ____________ (пояснения)</w:t>
      </w:r>
    </w:p>
    <w:bookmarkEnd w:id="19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32215609"/>
      <w:r w:rsidRPr="00E6461C">
        <w:rPr>
          <w:rFonts w:ascii="Times New Roman" w:hAnsi="Times New Roman" w:cs="Times New Roman"/>
          <w:sz w:val="28"/>
          <w:szCs w:val="28"/>
        </w:rPr>
        <w:t xml:space="preserve">4.2. Нарушения при управлении и распоряжении муниципальной собственностью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нарушений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нарушений ____________ (пояснения)</w:t>
      </w:r>
    </w:p>
    <w:bookmarkEnd w:id="20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Hlk32055661"/>
      <w:r w:rsidRPr="00E6461C">
        <w:rPr>
          <w:rFonts w:ascii="Times New Roman" w:hAnsi="Times New Roman" w:cs="Times New Roman"/>
          <w:sz w:val="28"/>
          <w:szCs w:val="28"/>
        </w:rPr>
        <w:t>5. Контроль за правомерностью использования бюджетных средств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Указывается краткая характеристика нарушений (при наличии), сумма выявленных нарушений, тыс. рублей.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 Качество осуществления закупок товаров, работ, услуг для обеспечения муниципальных нужд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Краткий обзор выявленных нарушений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6.2. Использование конкурентных способов закупок товаров, работ, услуг ГАБС, экономия средств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Количество проведенных торгов____ (единиц)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Общая сумма экономии бюджетных средств _____ (тыс. рублей)</w:t>
      </w: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suppressAutoHyphens w:val="0"/>
        <w:spacing w:line="276" w:lineRule="auto"/>
        <w:rPr>
          <w:sz w:val="28"/>
          <w:szCs w:val="28"/>
        </w:rPr>
        <w:sectPr w:rsidR="00567646" w:rsidRPr="00E6461C">
          <w:pgSz w:w="11905" w:h="16838"/>
          <w:pgMar w:top="624" w:right="737" w:bottom="567" w:left="1588" w:header="0" w:footer="0" w:gutter="0"/>
          <w:cols w:space="720"/>
        </w:sectPr>
      </w:pP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в отношении главных администраторов</w:t>
      </w:r>
    </w:p>
    <w:p w:rsidR="00567646" w:rsidRPr="00E6461C" w:rsidRDefault="00567646" w:rsidP="00DE7AF0">
      <w:pPr>
        <w:pStyle w:val="ConsPlusNormal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DE7AF0"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890"/>
      <w:bookmarkEnd w:id="22"/>
      <w:r w:rsidRPr="00E6461C">
        <w:rPr>
          <w:rFonts w:ascii="Times New Roman" w:hAnsi="Times New Roman" w:cs="Times New Roman"/>
          <w:sz w:val="28"/>
          <w:szCs w:val="28"/>
        </w:rPr>
        <w:t>Отчет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 в отношении главных администраторов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16F7">
        <w:rPr>
          <w:rFonts w:ascii="Times New Roman" w:hAnsi="Times New Roman" w:cs="Times New Roman"/>
          <w:sz w:val="28"/>
          <w:szCs w:val="28"/>
        </w:rPr>
        <w:t>Петровского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 годовая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за 20__ год.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RPr="00E6461C" w:rsidTr="005676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ГАБС средств бюджета 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1" w:anchor="P441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2" w:anchor="P866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(6.2)</w:t>
              </w:r>
            </w:hyperlink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главному администратору бюджетных средств Администрации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</w:t>
            </w: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rPr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jc w:val="both"/>
              <w:rPr>
                <w:sz w:val="28"/>
                <w:szCs w:val="28"/>
              </w:rPr>
            </w:pPr>
            <w:r w:rsidRPr="00E6461C">
              <w:rPr>
                <w:sz w:val="28"/>
                <w:szCs w:val="28"/>
              </w:rPr>
              <w:lastRenderedPageBreak/>
              <w:t xml:space="preserve">Средний показатель по </w:t>
            </w:r>
            <w:proofErr w:type="gramStart"/>
            <w:r w:rsidRPr="00E6461C">
              <w:rPr>
                <w:sz w:val="28"/>
                <w:szCs w:val="28"/>
              </w:rPr>
              <w:t xml:space="preserve">бюджету </w:t>
            </w:r>
            <w:r w:rsidR="00DE7AF0" w:rsidRPr="00E6461C">
              <w:rPr>
                <w:sz w:val="28"/>
                <w:szCs w:val="28"/>
              </w:rPr>
              <w:t xml:space="preserve"> </w:t>
            </w:r>
            <w:r w:rsidR="002C16F7">
              <w:rPr>
                <w:sz w:val="28"/>
                <w:szCs w:val="28"/>
              </w:rPr>
              <w:t>Петровского</w:t>
            </w:r>
            <w:proofErr w:type="gramEnd"/>
            <w:r w:rsidR="00DE7AF0" w:rsidRPr="00E6461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rPr>
          <w:sz w:val="28"/>
          <w:szCs w:val="28"/>
        </w:rPr>
      </w:pPr>
    </w:p>
    <w:p w:rsidR="00567646" w:rsidRPr="00E6461C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Pr="00E6461C" w:rsidRDefault="007425FE" w:rsidP="004B7C62">
      <w:pPr>
        <w:rPr>
          <w:sz w:val="28"/>
          <w:szCs w:val="28"/>
        </w:rPr>
      </w:pPr>
    </w:p>
    <w:sectPr w:rsidR="007425FE" w:rsidRPr="00E6461C" w:rsidSect="00567646">
      <w:footnotePr>
        <w:pos w:val="beneathText"/>
      </w:footnotePr>
      <w:pgSz w:w="16837" w:h="11905" w:orient="landscape"/>
      <w:pgMar w:top="1531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4C65"/>
    <w:rsid w:val="00077ACD"/>
    <w:rsid w:val="000A0579"/>
    <w:rsid w:val="00151032"/>
    <w:rsid w:val="00174F0F"/>
    <w:rsid w:val="001E6EDF"/>
    <w:rsid w:val="001F23B6"/>
    <w:rsid w:val="00200375"/>
    <w:rsid w:val="002403F0"/>
    <w:rsid w:val="00293585"/>
    <w:rsid w:val="0029532F"/>
    <w:rsid w:val="002C16F7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1AB4"/>
    <w:rsid w:val="00567646"/>
    <w:rsid w:val="0060202C"/>
    <w:rsid w:val="00635BFB"/>
    <w:rsid w:val="00687939"/>
    <w:rsid w:val="006E1ACE"/>
    <w:rsid w:val="007425FE"/>
    <w:rsid w:val="00811EEA"/>
    <w:rsid w:val="00863460"/>
    <w:rsid w:val="008A4C42"/>
    <w:rsid w:val="0095023F"/>
    <w:rsid w:val="009854D7"/>
    <w:rsid w:val="009C7D2F"/>
    <w:rsid w:val="009F3EDF"/>
    <w:rsid w:val="00A04738"/>
    <w:rsid w:val="00A24CD3"/>
    <w:rsid w:val="00A428F9"/>
    <w:rsid w:val="00A7552F"/>
    <w:rsid w:val="00B370A4"/>
    <w:rsid w:val="00B55446"/>
    <w:rsid w:val="00B56CD9"/>
    <w:rsid w:val="00B6654A"/>
    <w:rsid w:val="00BA18C1"/>
    <w:rsid w:val="00BD46DE"/>
    <w:rsid w:val="00C500D8"/>
    <w:rsid w:val="00C52003"/>
    <w:rsid w:val="00C56519"/>
    <w:rsid w:val="00C60FA0"/>
    <w:rsid w:val="00C80F47"/>
    <w:rsid w:val="00CD4F87"/>
    <w:rsid w:val="00CE0EAE"/>
    <w:rsid w:val="00CE432E"/>
    <w:rsid w:val="00D66A3E"/>
    <w:rsid w:val="00D75590"/>
    <w:rsid w:val="00D94C65"/>
    <w:rsid w:val="00DE7AF0"/>
    <w:rsid w:val="00E6461C"/>
    <w:rsid w:val="00E840EF"/>
    <w:rsid w:val="00EB091F"/>
    <w:rsid w:val="00ED4DE6"/>
    <w:rsid w:val="00ED7D1B"/>
    <w:rsid w:val="00F323CC"/>
    <w:rsid w:val="00F46DFD"/>
    <w:rsid w:val="00FB6124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C788-05FE-43B0-B996-3B1079E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975-5DEE-45F7-A4D0-E5C04EA6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19763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Admin</cp:lastModifiedBy>
  <cp:revision>11</cp:revision>
  <cp:lastPrinted>2021-03-11T09:44:00Z</cp:lastPrinted>
  <dcterms:created xsi:type="dcterms:W3CDTF">2021-03-11T07:23:00Z</dcterms:created>
  <dcterms:modified xsi:type="dcterms:W3CDTF">2021-08-30T12:23:00Z</dcterms:modified>
</cp:coreProperties>
</file>