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2C" w:rsidRPr="00DC6B2C" w:rsidRDefault="00DC6B2C" w:rsidP="00DC6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C6B2C">
        <w:rPr>
          <w:rFonts w:ascii="Times New Roman" w:hAnsi="Times New Roman"/>
          <w:b/>
          <w:sz w:val="24"/>
          <w:szCs w:val="24"/>
        </w:rPr>
        <w:t>ПРОЕКТ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DC6B2C" w:rsidRPr="00DC6B2C" w:rsidRDefault="00B26A1F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ПЕТРОВСКОГО</w:t>
      </w:r>
      <w:r w:rsidR="00DC6B2C" w:rsidRPr="00DC6B2C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DC6B2C" w:rsidRPr="00DC6B2C" w:rsidRDefault="00DC6B2C" w:rsidP="00DC6B2C">
      <w:pPr>
        <w:tabs>
          <w:tab w:val="left" w:pos="597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DC6B2C">
        <w:rPr>
          <w:rFonts w:ascii="Times New Roman" w:hAnsi="Times New Roman"/>
          <w:sz w:val="32"/>
          <w:szCs w:val="32"/>
        </w:rPr>
        <w:tab/>
      </w:r>
    </w:p>
    <w:p w:rsidR="00DC6B2C" w:rsidRPr="00DC6B2C" w:rsidRDefault="00DC6B2C" w:rsidP="00DC6B2C">
      <w:pPr>
        <w:pStyle w:val="1"/>
        <w:rPr>
          <w:b w:val="0"/>
          <w:sz w:val="32"/>
          <w:szCs w:val="32"/>
        </w:rPr>
      </w:pPr>
      <w:r w:rsidRPr="00DC6B2C">
        <w:rPr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>от  2021 года   № / -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B2C" w:rsidRDefault="00B26A1F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с.Поды</w:t>
      </w:r>
    </w:p>
    <w:p w:rsid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B26A1F">
        <w:rPr>
          <w:rFonts w:ascii="Times New Roman" w:hAnsi="Times New Roman"/>
          <w:b/>
          <w:sz w:val="28"/>
          <w:szCs w:val="28"/>
        </w:rPr>
        <w:t xml:space="preserve">Петровском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B2C">
        <w:rPr>
          <w:rFonts w:ascii="Times New Roman" w:hAnsi="Times New Roman"/>
          <w:b/>
          <w:sz w:val="28"/>
          <w:szCs w:val="28"/>
        </w:rPr>
        <w:t xml:space="preserve">сельсовете </w:t>
      </w:r>
      <w:r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DC6B2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9B1AFF" w:rsidRPr="00616B2A" w:rsidRDefault="009B1AFF" w:rsidP="00012EB9">
      <w:pPr>
        <w:spacing w:after="0" w:line="240" w:lineRule="auto"/>
        <w:rPr>
          <w:rFonts w:ascii="Times New Roman" w:hAnsi="Times New Roman"/>
        </w:rPr>
      </w:pPr>
    </w:p>
    <w:p w:rsidR="005C0B4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0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B26A1F">
        <w:rPr>
          <w:rFonts w:ascii="Times New Roman" w:hAnsi="Times New Roman"/>
          <w:sz w:val="28"/>
          <w:szCs w:val="28"/>
        </w:rPr>
        <w:t>Петровский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</w:t>
      </w:r>
      <w:r w:rsidR="00B26A1F">
        <w:rPr>
          <w:rFonts w:ascii="Times New Roman" w:hAnsi="Times New Roman"/>
          <w:sz w:val="28"/>
          <w:szCs w:val="28"/>
        </w:rPr>
        <w:t xml:space="preserve"> Петровском 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 w:rsidR="003F2579">
        <w:rPr>
          <w:rFonts w:ascii="Times New Roman" w:hAnsi="Times New Roman"/>
          <w:sz w:val="28"/>
          <w:szCs w:val="28"/>
        </w:rPr>
        <w:t>Хомутовского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 в сети «Интернет» (</w:t>
      </w:r>
      <w:r w:rsidR="00B26A1F" w:rsidRPr="00B26A1F">
        <w:rPr>
          <w:rFonts w:ascii="Times New Roman" w:hAnsi="Times New Roman"/>
          <w:sz w:val="28"/>
          <w:szCs w:val="28"/>
          <w:lang w:val="en-US"/>
        </w:rPr>
        <w:t>http</w:t>
      </w:r>
      <w:r w:rsidR="00B26A1F" w:rsidRPr="00B26A1F">
        <w:rPr>
          <w:rFonts w:ascii="Times New Roman" w:hAnsi="Times New Roman"/>
          <w:sz w:val="28"/>
          <w:szCs w:val="28"/>
        </w:rPr>
        <w:t>://петровский46.рф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F2579" w:rsidRPr="003F2579" w:rsidRDefault="00B26A1F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3F2579" w:rsidRPr="003F2579">
        <w:rPr>
          <w:rFonts w:ascii="Times New Roman" w:hAnsi="Times New Roman"/>
          <w:sz w:val="28"/>
          <w:szCs w:val="28"/>
        </w:rPr>
        <w:t xml:space="preserve"> сельсовета </w:t>
      </w:r>
    </w:p>
    <w:p w:rsidR="003F2579" w:rsidRPr="003F2579" w:rsidRDefault="003F2579" w:rsidP="003F2579">
      <w:pPr>
        <w:pStyle w:val="a3"/>
        <w:ind w:left="142" w:hanging="142"/>
        <w:jc w:val="left"/>
        <w:rPr>
          <w:sz w:val="28"/>
        </w:rPr>
      </w:pPr>
      <w:r w:rsidRPr="003F2579">
        <w:rPr>
          <w:sz w:val="28"/>
        </w:rPr>
        <w:t xml:space="preserve">Хомутовского района                                           </w:t>
      </w:r>
      <w:r w:rsidR="00B26A1F">
        <w:rPr>
          <w:sz w:val="28"/>
        </w:rPr>
        <w:t xml:space="preserve">                 А.Н.Агапцева</w:t>
      </w:r>
    </w:p>
    <w:p w:rsidR="003F2579" w:rsidRPr="003F2579" w:rsidRDefault="003F2579" w:rsidP="003F2579">
      <w:pPr>
        <w:pStyle w:val="a3"/>
        <w:ind w:firstLine="0"/>
        <w:rPr>
          <w:sz w:val="28"/>
        </w:rPr>
      </w:pP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Глава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Pr="003F2579">
        <w:rPr>
          <w:rFonts w:ascii="Times New Roman" w:hAnsi="Times New Roman"/>
          <w:sz w:val="28"/>
          <w:szCs w:val="28"/>
        </w:rPr>
        <w:t xml:space="preserve"> сельсовета</w:t>
      </w: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</w:t>
      </w:r>
      <w:r w:rsidR="00B26A1F">
        <w:rPr>
          <w:rFonts w:ascii="Times New Roman" w:hAnsi="Times New Roman"/>
          <w:sz w:val="28"/>
          <w:szCs w:val="28"/>
        </w:rPr>
        <w:t xml:space="preserve">         Г.А.Баранов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B26A1F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B26A1F">
        <w:rPr>
          <w:rFonts w:ascii="Times New Roman" w:hAnsi="Times New Roman"/>
          <w:sz w:val="28"/>
          <w:szCs w:val="28"/>
        </w:rPr>
        <w:t>Петровского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</w:t>
      </w:r>
    </w:p>
    <w:p w:rsidR="005C0B4C" w:rsidRPr="005C0B4C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Хомутовского</w:t>
      </w:r>
      <w:r w:rsidR="005C0B4C" w:rsidRPr="005C0B4C">
        <w:rPr>
          <w:rFonts w:ascii="Times New Roman" w:hAnsi="Times New Roman"/>
          <w:sz w:val="28"/>
          <w:szCs w:val="28"/>
        </w:rPr>
        <w:t xml:space="preserve">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>от ________ № _________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B26A1F">
        <w:rPr>
          <w:rFonts w:ascii="Times New Roman" w:hAnsi="Times New Roman"/>
          <w:b/>
          <w:sz w:val="28"/>
          <w:szCs w:val="28"/>
        </w:rPr>
        <w:t>Петровского</w:t>
      </w:r>
      <w:r w:rsidR="003F2579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B26A1F">
        <w:rPr>
          <w:rFonts w:ascii="Times New Roman" w:hAnsi="Times New Roman"/>
          <w:bCs/>
          <w:sz w:val="28"/>
          <w:szCs w:val="28"/>
        </w:rPr>
        <w:t xml:space="preserve">  Петровском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4369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 xml:space="preserve">Петровском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>сельсовете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7522E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B26A1F">
        <w:rPr>
          <w:rFonts w:ascii="Times New Roman" w:hAnsi="Times New Roman"/>
          <w:color w:val="000000"/>
          <w:sz w:val="28"/>
          <w:szCs w:val="28"/>
        </w:rPr>
        <w:t>Петровского</w:t>
      </w:r>
      <w:r w:rsid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color w:val="000000"/>
          <w:sz w:val="28"/>
          <w:szCs w:val="28"/>
        </w:rPr>
        <w:t xml:space="preserve">Хомутовского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>Хомутовского р</w:t>
      </w:r>
      <w:r w:rsidRPr="00EC1A7C">
        <w:rPr>
          <w:rFonts w:ascii="Times New Roman" w:hAnsi="Times New Roman"/>
          <w:bCs/>
          <w:sz w:val="28"/>
          <w:szCs w:val="28"/>
        </w:rPr>
        <w:t xml:space="preserve">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>указание на территорию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3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B36764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</w:t>
      </w:r>
      <w:r w:rsidR="0037001C">
        <w:rPr>
          <w:rFonts w:ascii="Times New Roman" w:hAnsi="Times New Roman"/>
          <w:bCs/>
          <w:sz w:val="28"/>
          <w:szCs w:val="28"/>
        </w:rPr>
        <w:lastRenderedPageBreak/>
        <w:t xml:space="preserve">поддержку инициативного проекта жителями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>
        <w:rPr>
          <w:rFonts w:ascii="Times New Roman" w:hAnsi="Times New Roman"/>
          <w:bCs/>
          <w:sz w:val="28"/>
          <w:szCs w:val="28"/>
        </w:rPr>
        <w:t xml:space="preserve"> </w:t>
      </w:r>
      <w:r w:rsidR="005572B3"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r w:rsidR="00B26A1F" w:rsidRPr="00B26A1F">
        <w:rPr>
          <w:rFonts w:ascii="Times New Roman" w:hAnsi="Times New Roman"/>
          <w:sz w:val="28"/>
          <w:szCs w:val="28"/>
          <w:lang w:val="en-US"/>
        </w:rPr>
        <w:t>http</w:t>
      </w:r>
      <w:r w:rsidR="00B26A1F" w:rsidRPr="00B26A1F">
        <w:rPr>
          <w:rFonts w:ascii="Times New Roman" w:hAnsi="Times New Roman"/>
          <w:sz w:val="28"/>
          <w:szCs w:val="28"/>
        </w:rPr>
        <w:t>://петровский46.рф</w:t>
      </w:r>
      <w:r w:rsidR="00346D1C">
        <w:rPr>
          <w:rFonts w:ascii="Times New Roman" w:hAnsi="Times New Roman"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21166E" w:rsidRPr="0021166E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lastRenderedPageBreak/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>сельсовета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B26A1F">
        <w:rPr>
          <w:rFonts w:ascii="Times New Roman" w:hAnsi="Times New Roman"/>
          <w:bCs/>
          <w:sz w:val="28"/>
          <w:szCs w:val="28"/>
        </w:rPr>
        <w:t>Петровский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сельсовет»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>района.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в информационно-телекоммуникационной сети «Интернет». Отчет Администрации 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B26A1F">
        <w:rPr>
          <w:rFonts w:ascii="Times New Roman" w:hAnsi="Times New Roman"/>
          <w:bCs/>
          <w:sz w:val="28"/>
          <w:szCs w:val="28"/>
        </w:rPr>
        <w:t>Петровского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3C" w:rsidRDefault="0018063C" w:rsidP="00EC1A7C">
      <w:pPr>
        <w:spacing w:after="0" w:line="240" w:lineRule="auto"/>
      </w:pPr>
      <w:r>
        <w:separator/>
      </w:r>
    </w:p>
  </w:endnote>
  <w:endnote w:type="continuationSeparator" w:id="0">
    <w:p w:rsidR="0018063C" w:rsidRDefault="0018063C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3C" w:rsidRDefault="0018063C" w:rsidP="00EC1A7C">
      <w:pPr>
        <w:spacing w:after="0" w:line="240" w:lineRule="auto"/>
      </w:pPr>
      <w:r>
        <w:separator/>
      </w:r>
    </w:p>
  </w:footnote>
  <w:footnote w:type="continuationSeparator" w:id="0">
    <w:p w:rsidR="0018063C" w:rsidRDefault="0018063C" w:rsidP="00EC1A7C">
      <w:pPr>
        <w:spacing w:after="0" w:line="240" w:lineRule="auto"/>
      </w:pPr>
      <w:r>
        <w:continuationSeparator/>
      </w:r>
    </w:p>
  </w:footnote>
  <w:footnote w:id="1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3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81791"/>
      <w:docPartObj>
        <w:docPartGallery w:val="Page Numbers (Top of Page)"/>
        <w:docPartUnique/>
      </w:docPartObj>
    </w:sdtPr>
    <w:sdtEndPr/>
    <w:sdtContent>
      <w:p w:rsidR="002F5C86" w:rsidRDefault="00FF40EE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B26A1F">
          <w:rPr>
            <w:noProof/>
          </w:rPr>
          <w:t>4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18063C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46D1C"/>
    <w:rsid w:val="0037001C"/>
    <w:rsid w:val="00370AC2"/>
    <w:rsid w:val="003B0CCF"/>
    <w:rsid w:val="003B38AF"/>
    <w:rsid w:val="003E0D12"/>
    <w:rsid w:val="003E63B1"/>
    <w:rsid w:val="003F2579"/>
    <w:rsid w:val="004269AA"/>
    <w:rsid w:val="00442EA6"/>
    <w:rsid w:val="0047679D"/>
    <w:rsid w:val="00485219"/>
    <w:rsid w:val="004B2A4F"/>
    <w:rsid w:val="004C343F"/>
    <w:rsid w:val="004F502E"/>
    <w:rsid w:val="004F666C"/>
    <w:rsid w:val="005263F3"/>
    <w:rsid w:val="005470C6"/>
    <w:rsid w:val="00552887"/>
    <w:rsid w:val="005572B3"/>
    <w:rsid w:val="00571603"/>
    <w:rsid w:val="005926E3"/>
    <w:rsid w:val="00592C7D"/>
    <w:rsid w:val="0059570C"/>
    <w:rsid w:val="005B0EC1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6E48AB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64BC4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26A1F"/>
    <w:rsid w:val="00B36764"/>
    <w:rsid w:val="00B54E77"/>
    <w:rsid w:val="00B77B58"/>
    <w:rsid w:val="00B91E04"/>
    <w:rsid w:val="00BE441C"/>
    <w:rsid w:val="00BF3F37"/>
    <w:rsid w:val="00C03981"/>
    <w:rsid w:val="00C80BDE"/>
    <w:rsid w:val="00C8350B"/>
    <w:rsid w:val="00C95D6A"/>
    <w:rsid w:val="00CA16DF"/>
    <w:rsid w:val="00CD02A9"/>
    <w:rsid w:val="00CE788A"/>
    <w:rsid w:val="00D03725"/>
    <w:rsid w:val="00D22E99"/>
    <w:rsid w:val="00D5158F"/>
    <w:rsid w:val="00D91254"/>
    <w:rsid w:val="00D94A15"/>
    <w:rsid w:val="00DB7E9F"/>
    <w:rsid w:val="00DC6B2C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40EE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8D0919-FC3A-4CA9-B779-DC45E5E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EDFA-E268-4121-9B5A-556F1D71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2021-01-19T08:59:00Z</cp:lastPrinted>
  <dcterms:created xsi:type="dcterms:W3CDTF">2021-01-26T13:23:00Z</dcterms:created>
  <dcterms:modified xsi:type="dcterms:W3CDTF">2021-02-17T13:27:00Z</dcterms:modified>
</cp:coreProperties>
</file>